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94BFE" w14:textId="77777777" w:rsidR="00103394" w:rsidRDefault="0028242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D78AAAA" wp14:editId="19382EA0">
            <wp:extent cx="6858000" cy="976630"/>
            <wp:effectExtent l="0" t="0" r="0" b="0"/>
            <wp:docPr id="1" name="image1.jpg" descr="C:\Users\Lee\Documents\Matthew\MCLeeConsulting\Clients\IETAP\Communications\Comm RFP and Interact\Logos and Letterheads\New logos 180727\ccc-logo-vfull-iepi-1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Lee\Documents\Matthew\MCLeeConsulting\Clients\IETAP\Communications\Comm RFP and Interact\Logos and Letterheads\New logos 180727\ccc-logo-vfull-iepi-1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6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F5120A" w14:textId="77777777" w:rsidR="00103394" w:rsidRDefault="00103394">
      <w:pPr>
        <w:jc w:val="center"/>
        <w:rPr>
          <w:rFonts w:ascii="Arial" w:eastAsia="Arial" w:hAnsi="Arial" w:cs="Arial"/>
          <w:sz w:val="16"/>
          <w:szCs w:val="16"/>
        </w:rPr>
      </w:pPr>
      <w:bookmarkStart w:id="0" w:name="_gjdgxs" w:colFirst="0" w:colLast="0"/>
      <w:bookmarkEnd w:id="0"/>
    </w:p>
    <w:p w14:paraId="52C1B70A" w14:textId="77777777" w:rsidR="00103394" w:rsidRDefault="00103394">
      <w:pPr>
        <w:jc w:val="center"/>
        <w:rPr>
          <w:rFonts w:ascii="Arial" w:eastAsia="Arial" w:hAnsi="Arial" w:cs="Arial"/>
          <w:sz w:val="16"/>
          <w:szCs w:val="16"/>
        </w:rPr>
      </w:pPr>
    </w:p>
    <w:p w14:paraId="6C97E5AF" w14:textId="77777777" w:rsidR="00103394" w:rsidRDefault="0028242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Institutional Effectiveness Partnership Initiative</w:t>
      </w:r>
    </w:p>
    <w:p w14:paraId="1A5361F0" w14:textId="77777777" w:rsidR="00103394" w:rsidRDefault="0028242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Partnership Resource Teams</w:t>
      </w:r>
    </w:p>
    <w:p w14:paraId="0BE0F54E" w14:textId="77777777" w:rsidR="00103394" w:rsidRDefault="0028242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Institutional Innovation and Effectiveness Plan</w:t>
      </w:r>
    </w:p>
    <w:p w14:paraId="502F5EE4" w14:textId="77777777" w:rsidR="00103394" w:rsidRDefault="002824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05/03/2019</w:t>
      </w:r>
    </w:p>
    <w:p w14:paraId="44583B73" w14:textId="77777777" w:rsidR="00103394" w:rsidRDefault="00103394">
      <w:pPr>
        <w:jc w:val="center"/>
        <w:rPr>
          <w:rFonts w:ascii="Arial" w:eastAsia="Arial" w:hAnsi="Arial" w:cs="Arial"/>
          <w:b/>
        </w:rPr>
      </w:pPr>
    </w:p>
    <w:p w14:paraId="07ED96D4" w14:textId="77777777" w:rsidR="00103394" w:rsidRDefault="0028242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 of Institution: Gavilan College</w:t>
      </w:r>
    </w:p>
    <w:p w14:paraId="40BFF3A5" w14:textId="77777777" w:rsidR="00103394" w:rsidRDefault="00103394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15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3630"/>
        <w:gridCol w:w="1635"/>
        <w:gridCol w:w="1410"/>
        <w:gridCol w:w="2685"/>
        <w:gridCol w:w="2304"/>
        <w:gridCol w:w="2304"/>
      </w:tblGrid>
      <w:tr w:rsidR="00103394" w14:paraId="777E2621" w14:textId="77777777">
        <w:trPr>
          <w:jc w:val="center"/>
        </w:trPr>
        <w:tc>
          <w:tcPr>
            <w:tcW w:w="1155" w:type="dxa"/>
            <w:vAlign w:val="bottom"/>
          </w:tcPr>
          <w:p w14:paraId="1EF2D65D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Area of Focus</w:t>
            </w:r>
          </w:p>
        </w:tc>
        <w:tc>
          <w:tcPr>
            <w:tcW w:w="3630" w:type="dxa"/>
            <w:vAlign w:val="bottom"/>
          </w:tcPr>
          <w:p w14:paraId="651663F5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Objective</w:t>
            </w:r>
          </w:p>
        </w:tc>
        <w:tc>
          <w:tcPr>
            <w:tcW w:w="1635" w:type="dxa"/>
            <w:vAlign w:val="bottom"/>
          </w:tcPr>
          <w:p w14:paraId="2705945C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Responsible Person</w:t>
            </w:r>
          </w:p>
        </w:tc>
        <w:tc>
          <w:tcPr>
            <w:tcW w:w="1410" w:type="dxa"/>
            <w:vAlign w:val="bottom"/>
          </w:tcPr>
          <w:p w14:paraId="1C19458C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Target Date for Achievement</w:t>
            </w:r>
          </w:p>
        </w:tc>
        <w:tc>
          <w:tcPr>
            <w:tcW w:w="2685" w:type="dxa"/>
            <w:vAlign w:val="bottom"/>
          </w:tcPr>
          <w:p w14:paraId="108DC136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Action Steps</w:t>
            </w:r>
          </w:p>
        </w:tc>
        <w:tc>
          <w:tcPr>
            <w:tcW w:w="2304" w:type="dxa"/>
            <w:vAlign w:val="bottom"/>
          </w:tcPr>
          <w:p w14:paraId="2939F4AF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Measure of Progress</w:t>
            </w:r>
          </w:p>
        </w:tc>
        <w:tc>
          <w:tcPr>
            <w:tcW w:w="2304" w:type="dxa"/>
            <w:vAlign w:val="bottom"/>
          </w:tcPr>
          <w:p w14:paraId="2F6C9CAA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Status</w:t>
            </w:r>
          </w:p>
          <w:p w14:paraId="74C2FD59" w14:textId="77777777" w:rsidR="00103394" w:rsidRDefault="0028242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 of Date:</w:t>
            </w:r>
            <w:r w:rsidR="00176ED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December 2019</w:t>
            </w:r>
          </w:p>
        </w:tc>
      </w:tr>
      <w:tr w:rsidR="00103394" w14:paraId="10D6A477" w14:textId="77777777">
        <w:trPr>
          <w:trHeight w:val="420"/>
          <w:jc w:val="center"/>
        </w:trPr>
        <w:tc>
          <w:tcPr>
            <w:tcW w:w="1155" w:type="dxa"/>
          </w:tcPr>
          <w:p w14:paraId="3D89C849" w14:textId="77777777" w:rsidR="00103394" w:rsidRDefault="00282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Review and improve the Program Review process</w:t>
            </w:r>
          </w:p>
        </w:tc>
        <w:tc>
          <w:tcPr>
            <w:tcW w:w="3630" w:type="dxa"/>
          </w:tcPr>
          <w:p w14:paraId="69D55B94" w14:textId="294F4BE4" w:rsidR="00103394" w:rsidRDefault="00282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Develop and implement a Program Review Handbook </w:t>
            </w:r>
            <w:r w:rsidR="006771C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and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mechanisms to have all materials/forms in one place to be easily accessible.</w:t>
            </w:r>
          </w:p>
          <w:p w14:paraId="39272C69" w14:textId="77777777" w:rsidR="00103394" w:rsidRDefault="00282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More clearly delineate the different purposes between the Program Review and the annual Program Plan.</w:t>
            </w:r>
          </w:p>
          <w:p w14:paraId="2EDF8459" w14:textId="621F307C" w:rsidR="009E2FC8" w:rsidRPr="009E2FC8" w:rsidRDefault="009E2F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9E2FC8">
              <w:rPr>
                <w:rFonts w:ascii="Arial Narrow" w:hAnsi="Arial Narrow" w:cs="Arial"/>
                <w:sz w:val="16"/>
                <w:szCs w:val="16"/>
              </w:rPr>
              <w:t xml:space="preserve">Engage faculty and campus stakeholders with proactive initiatives </w:t>
            </w:r>
            <w:r w:rsidR="006771C0">
              <w:rPr>
                <w:rFonts w:ascii="Arial Narrow" w:hAnsi="Arial Narrow" w:cs="Arial"/>
                <w:sz w:val="16"/>
                <w:szCs w:val="16"/>
              </w:rPr>
              <w:t xml:space="preserve">for the </w:t>
            </w:r>
            <w:r w:rsidRPr="009E2FC8">
              <w:rPr>
                <w:rFonts w:ascii="Arial Narrow" w:hAnsi="Arial Narrow" w:cs="Arial"/>
                <w:sz w:val="16"/>
                <w:szCs w:val="16"/>
              </w:rPr>
              <w:t>necessary program review changes with adequate support from the college (e.g., common language and understanding of process)</w:t>
            </w:r>
            <w:r w:rsidR="006771C0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4FE519C1" w14:textId="6193E9E6" w:rsidR="00103394" w:rsidRDefault="00282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Improve Quality Control, Training and Transparency for PR, inclusive of the proper management of resources, time and job responsibilities. </w:t>
            </w:r>
          </w:p>
          <w:p w14:paraId="2319EFA2" w14:textId="02810921" w:rsidR="00103394" w:rsidRDefault="002850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="00282426">
              <w:rPr>
                <w:rFonts w:ascii="Arial Narrow" w:eastAsia="Arial Narrow" w:hAnsi="Arial Narrow" w:cs="Arial Narrow"/>
                <w:sz w:val="16"/>
                <w:szCs w:val="16"/>
              </w:rPr>
              <w:t>nclude collaborative dialog about SLOs to address issue of the individualized SLO review.</w:t>
            </w:r>
          </w:p>
          <w:p w14:paraId="350AF09F" w14:textId="77777777" w:rsidR="00103394" w:rsidRDefault="00282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Refine and improve PR processes, including identifying bridges to other processes, such as Budget development.</w:t>
            </w:r>
          </w:p>
          <w:p w14:paraId="7FBDC445" w14:textId="77777777" w:rsidR="00103394" w:rsidRDefault="00282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Provide professional learning on PR processes, including the use of data to support PR.</w:t>
            </w:r>
          </w:p>
          <w:p w14:paraId="2E1F9A55" w14:textId="77777777" w:rsidR="00103394" w:rsidRDefault="001033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35" w:type="dxa"/>
          </w:tcPr>
          <w:p w14:paraId="0D706DBF" w14:textId="77777777" w:rsidR="00103394" w:rsidRDefault="00282426">
            <w:pPr>
              <w:numPr>
                <w:ilvl w:val="0"/>
                <w:numId w:val="6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PIPR </w:t>
            </w:r>
          </w:p>
          <w:p w14:paraId="2D2EFB13" w14:textId="77777777" w:rsidR="00103394" w:rsidRDefault="001033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E62D4B3" w14:textId="77777777" w:rsidR="00103394" w:rsidRDefault="00282426">
            <w:pPr>
              <w:numPr>
                <w:ilvl w:val="0"/>
                <w:numId w:val="6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PIPR</w:t>
            </w:r>
          </w:p>
          <w:p w14:paraId="3086DE33" w14:textId="77777777" w:rsidR="00103394" w:rsidRDefault="00103394">
            <w:pPr>
              <w:ind w:left="72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1071814" w14:textId="120DFF9D" w:rsidR="00103394" w:rsidRDefault="00282426">
            <w:pPr>
              <w:numPr>
                <w:ilvl w:val="0"/>
                <w:numId w:val="6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PIPR, VPAA, </w:t>
            </w:r>
          </w:p>
          <w:p w14:paraId="48339108" w14:textId="77777777" w:rsidR="009E2FC8" w:rsidRDefault="009E2FC8" w:rsidP="009E2FC8">
            <w:pPr>
              <w:pStyle w:val="ListParagrap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D4FAA9B" w14:textId="77777777" w:rsidR="009E2FC8" w:rsidRDefault="009E2FC8" w:rsidP="009E2FC8">
            <w:pPr>
              <w:ind w:left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451002E" w14:textId="77777777" w:rsidR="00103394" w:rsidRDefault="00282426">
            <w:pPr>
              <w:numPr>
                <w:ilvl w:val="0"/>
                <w:numId w:val="6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PIPR, VPAA</w:t>
            </w:r>
          </w:p>
          <w:p w14:paraId="6280D8EC" w14:textId="77777777" w:rsidR="009E2FC8" w:rsidRDefault="009E2FC8" w:rsidP="009E2FC8">
            <w:pPr>
              <w:ind w:left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40ECB73" w14:textId="77777777" w:rsidR="00103394" w:rsidRDefault="00282426">
            <w:pPr>
              <w:numPr>
                <w:ilvl w:val="0"/>
                <w:numId w:val="6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PIPR and Academic Senate</w:t>
            </w:r>
          </w:p>
          <w:p w14:paraId="469FBBF7" w14:textId="77777777" w:rsidR="009E2FC8" w:rsidRDefault="009E2FC8" w:rsidP="009E2FC8">
            <w:pPr>
              <w:pStyle w:val="ListParagrap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8FACD9E" w14:textId="77777777" w:rsidR="009E2FC8" w:rsidRDefault="009E2FC8" w:rsidP="009E2FC8">
            <w:pPr>
              <w:ind w:left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8AF0CE6" w14:textId="77777777" w:rsidR="00103394" w:rsidRDefault="00282426">
            <w:pPr>
              <w:numPr>
                <w:ilvl w:val="0"/>
                <w:numId w:val="6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PIPR and Academic Senate</w:t>
            </w:r>
          </w:p>
          <w:p w14:paraId="7E8EBFF9" w14:textId="77777777" w:rsidR="009E2FC8" w:rsidRDefault="009E2FC8" w:rsidP="009E2FC8">
            <w:pPr>
              <w:ind w:left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567AD4A" w14:textId="77777777" w:rsidR="00103394" w:rsidRDefault="00282426">
            <w:pPr>
              <w:numPr>
                <w:ilvl w:val="0"/>
                <w:numId w:val="6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PIPR, VPAA</w:t>
            </w:r>
          </w:p>
        </w:tc>
        <w:tc>
          <w:tcPr>
            <w:tcW w:w="1410" w:type="dxa"/>
          </w:tcPr>
          <w:p w14:paraId="356FD736" w14:textId="77777777" w:rsidR="00103394" w:rsidRDefault="00176EDF">
            <w:pPr>
              <w:numPr>
                <w:ilvl w:val="0"/>
                <w:numId w:val="7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September 2019</w:t>
            </w:r>
          </w:p>
          <w:p w14:paraId="1E9FF89A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A10F872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81818B5" w14:textId="77777777" w:rsidR="00103394" w:rsidRDefault="00282426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</w:t>
            </w:r>
            <w:r w:rsidR="00176ED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December 2019</w:t>
            </w:r>
          </w:p>
          <w:p w14:paraId="4F78DC27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AA29C82" w14:textId="77777777" w:rsidR="00103394" w:rsidRDefault="00282426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3. </w:t>
            </w:r>
            <w:r w:rsidR="00176EDF">
              <w:rPr>
                <w:rFonts w:ascii="Arial Narrow" w:eastAsia="Arial Narrow" w:hAnsi="Arial Narrow" w:cs="Arial Narrow"/>
                <w:sz w:val="16"/>
                <w:szCs w:val="16"/>
              </w:rPr>
              <w:t>May 2020</w:t>
            </w:r>
          </w:p>
          <w:p w14:paraId="7B5B06FB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E27D0A1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87B9DAA" w14:textId="77777777" w:rsidR="00103394" w:rsidRDefault="00282426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4. </w:t>
            </w:r>
            <w:r w:rsidR="00176EDF">
              <w:rPr>
                <w:rFonts w:ascii="Arial Narrow" w:eastAsia="Arial Narrow" w:hAnsi="Arial Narrow" w:cs="Arial Narrow"/>
                <w:sz w:val="16"/>
                <w:szCs w:val="16"/>
              </w:rPr>
              <w:t>May 2020</w:t>
            </w:r>
          </w:p>
          <w:p w14:paraId="095C28E6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F99C47D" w14:textId="77777777" w:rsidR="00103394" w:rsidRDefault="00282426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5. </w:t>
            </w:r>
            <w:r w:rsidR="00176EDF">
              <w:rPr>
                <w:rFonts w:ascii="Arial Narrow" w:eastAsia="Arial Narrow" w:hAnsi="Arial Narrow" w:cs="Arial Narrow"/>
                <w:sz w:val="16"/>
                <w:szCs w:val="16"/>
              </w:rPr>
              <w:t>May 2020</w:t>
            </w:r>
          </w:p>
          <w:p w14:paraId="3913CD72" w14:textId="77777777" w:rsidR="00103394" w:rsidRDefault="001033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7BD66AE" w14:textId="77777777" w:rsidR="00103394" w:rsidRDefault="00282426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6. </w:t>
            </w:r>
            <w:r w:rsidR="00176EDF">
              <w:rPr>
                <w:rFonts w:ascii="Arial Narrow" w:eastAsia="Arial Narrow" w:hAnsi="Arial Narrow" w:cs="Arial Narrow"/>
                <w:sz w:val="16"/>
                <w:szCs w:val="16"/>
              </w:rPr>
              <w:t>May 2020</w:t>
            </w:r>
          </w:p>
          <w:p w14:paraId="4818FA00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13BB536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AA3789C" w14:textId="77777777" w:rsidR="00103394" w:rsidRDefault="00282426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7.</w:t>
            </w:r>
            <w:r w:rsidR="00176ED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="009E2FC8">
              <w:rPr>
                <w:rFonts w:ascii="Arial Narrow" w:eastAsia="Arial Narrow" w:hAnsi="Arial Narrow" w:cs="Arial Narrow"/>
                <w:sz w:val="16"/>
                <w:szCs w:val="16"/>
              </w:rPr>
              <w:t>October 2019</w:t>
            </w:r>
          </w:p>
        </w:tc>
        <w:tc>
          <w:tcPr>
            <w:tcW w:w="2685" w:type="dxa"/>
          </w:tcPr>
          <w:p w14:paraId="4F1BC825" w14:textId="6B314792" w:rsidR="00301A88" w:rsidRDefault="00301A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Starting with effective models from comparable institutions, draft the Program Review Handbook, solicit and incorporate feedback as appropriate, obtain the necessary approvals, and publish the Handbook</w:t>
            </w:r>
          </w:p>
          <w:p w14:paraId="5C93AF16" w14:textId="6E8591A8" w:rsidR="00301A88" w:rsidRDefault="00301A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Clarify the distinction between Program Review and the annual Program Plan, and include that information in the Handbook</w:t>
            </w:r>
            <w:r w:rsidR="00DF0FB9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and training</w:t>
            </w:r>
          </w:p>
          <w:p w14:paraId="0F678957" w14:textId="3491003E" w:rsidR="00285047" w:rsidRPr="00DF0FB9" w:rsidRDefault="0028504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Program Review Training and Engagement</w:t>
            </w:r>
          </w:p>
          <w:p w14:paraId="1C56E805" w14:textId="01CF7927" w:rsidR="00103394" w:rsidRDefault="00282426" w:rsidP="0028504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Provide </w:t>
            </w:r>
            <w:r w:rsidR="00285047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periodic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training for Department Chairs and Deans, using the handbook </w:t>
            </w:r>
          </w:p>
          <w:p w14:paraId="4D0FC39C" w14:textId="73A6A68D" w:rsidR="00103394" w:rsidRDefault="00282426" w:rsidP="0028504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Use Peer Review Process </w:t>
            </w:r>
            <w:r w:rsidR="009E2FC8">
              <w:rPr>
                <w:rFonts w:ascii="Arial Narrow" w:eastAsia="Arial Narrow" w:hAnsi="Arial Narrow" w:cs="Arial Narrow"/>
                <w:sz w:val="16"/>
                <w:szCs w:val="16"/>
              </w:rPr>
              <w:t>to inform and train about program review</w:t>
            </w:r>
          </w:p>
          <w:p w14:paraId="70D00F8F" w14:textId="5B507545" w:rsidR="00103394" w:rsidRPr="0046355A" w:rsidRDefault="009E2FC8" w:rsidP="0028504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Provide robust deans’ training in advance of </w:t>
            </w:r>
            <w:r w:rsidR="00285047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each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program review cycle to assist PIPR and VPAA in helping departments and programs </w:t>
            </w:r>
            <w:r w:rsidRPr="0046355A">
              <w:rPr>
                <w:rFonts w:ascii="Arial Narrow" w:eastAsia="Arial Narrow" w:hAnsi="Arial Narrow" w:cs="Arial Narrow"/>
                <w:sz w:val="16"/>
                <w:szCs w:val="16"/>
              </w:rPr>
              <w:t>to complete PR</w:t>
            </w:r>
          </w:p>
          <w:p w14:paraId="78F1E39F" w14:textId="20039F1B" w:rsidR="00103394" w:rsidRPr="005E3F17" w:rsidRDefault="00B6285F" w:rsidP="0028504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144"/>
              <w:rPr>
                <w:rFonts w:ascii="Arial Narrow" w:eastAsia="Arial Narrow" w:hAnsi="Arial Narrow" w:cs="Arial Narrow"/>
                <w:strike/>
                <w:sz w:val="16"/>
                <w:szCs w:val="16"/>
              </w:rPr>
            </w:pPr>
            <w:r w:rsidRPr="005E3F17">
              <w:rPr>
                <w:rFonts w:ascii="Arial Narrow" w:eastAsia="Arial Narrow" w:hAnsi="Arial Narrow" w:cs="Arial Narrow"/>
                <w:sz w:val="16"/>
                <w:szCs w:val="16"/>
              </w:rPr>
              <w:t>Provide workshop</w:t>
            </w:r>
            <w:r w:rsidRPr="0046355A">
              <w:rPr>
                <w:rFonts w:ascii="Arial Narrow" w:eastAsia="Arial Narrow" w:hAnsi="Arial Narrow" w:cs="Arial Narrow"/>
                <w:sz w:val="16"/>
                <w:szCs w:val="16"/>
              </w:rPr>
              <w:t>(s)</w:t>
            </w:r>
            <w:r w:rsidRPr="005E3F17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5E3F17">
              <w:rPr>
                <w:rFonts w:ascii="Arial Narrow" w:eastAsia="Arial Narrow" w:hAnsi="Arial Narrow" w:cs="Arial Narrow"/>
                <w:sz w:val="16"/>
                <w:szCs w:val="16"/>
              </w:rPr>
              <w:t>on goal setting and measureable outcomes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at the beginning of each Planning and Review cycle.</w:t>
            </w:r>
            <w:r>
              <w:rPr>
                <w:rFonts w:ascii="Arial Narrow" w:eastAsia="Arial Narrow" w:hAnsi="Arial Narrow" w:cs="Arial Narrow"/>
                <w:strike/>
                <w:sz w:val="16"/>
                <w:szCs w:val="16"/>
              </w:rPr>
              <w:t xml:space="preserve"> </w:t>
            </w:r>
          </w:p>
          <w:p w14:paraId="6E8EE277" w14:textId="77777777" w:rsidR="00103394" w:rsidRDefault="00282426" w:rsidP="0028504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Provide training for Department Chairs and Deans, including using working meetings</w:t>
            </w:r>
          </w:p>
          <w:p w14:paraId="6BE043A4" w14:textId="70323E9D" w:rsidR="00B35F6E" w:rsidRDefault="00B35F6E" w:rsidP="00B35F6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Review the relationships of Program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lastRenderedPageBreak/>
              <w:t>Review to other processes (including budgeting), improve them as needed, and include information on those relationships in the Handbook</w:t>
            </w:r>
            <w:r w:rsidR="00B6285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. </w:t>
            </w:r>
          </w:p>
          <w:p w14:paraId="3548B550" w14:textId="7ADF18FB" w:rsidR="00B6285F" w:rsidRDefault="00627DF4" w:rsidP="00B35F6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Collaborate with faculty SLO Committee, ensuring Learning Objectives </w:t>
            </w:r>
            <w:r w:rsidR="00DB7FCC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are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relevant</w:t>
            </w:r>
            <w:r w:rsidR="00DB7FCC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, up-to-date and evaluated, </w:t>
            </w:r>
          </w:p>
          <w:p w14:paraId="386D3E80" w14:textId="2E064A41" w:rsidR="00B35F6E" w:rsidRPr="005E3F17" w:rsidRDefault="00DB7FCC" w:rsidP="00B35F6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trike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Annually assess the efficacy of Program Review, adding and eliminating content, and developing ways to collaborate with college planning and budgeting </w:t>
            </w:r>
          </w:p>
          <w:p w14:paraId="72B64292" w14:textId="7D16C8AB" w:rsidR="00285047" w:rsidRDefault="00DF0FB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Develop, implement, and incorporate into the Handbook the regular evaluation and improvement of Program Review processes.</w:t>
            </w:r>
          </w:p>
        </w:tc>
        <w:tc>
          <w:tcPr>
            <w:tcW w:w="2304" w:type="dxa"/>
          </w:tcPr>
          <w:p w14:paraId="74F1F3AD" w14:textId="5B09B42A" w:rsidR="00DF0FB9" w:rsidRDefault="00DF0F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lastRenderedPageBreak/>
              <w:t>Completion and publication of the initial edition of the Handbook</w:t>
            </w:r>
          </w:p>
          <w:p w14:paraId="1E51953D" w14:textId="4B50F9C2" w:rsidR="00DF0FB9" w:rsidRPr="00C763C1" w:rsidRDefault="00DF0F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Distinction between  Program Review and annual Program Plan </w:t>
            </w:r>
            <w:r w:rsidR="00C763C1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clarified and built into Handbook and training</w:t>
            </w:r>
          </w:p>
          <w:p w14:paraId="5524C5F6" w14:textId="5F79EEB7" w:rsidR="00103394" w:rsidRDefault="002824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Successful</w:t>
            </w:r>
            <w:r w:rsidR="00DF0FB9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completion of initial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training</w:t>
            </w:r>
            <w:r w:rsidR="00DF0FB9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for all applicable stakeholders (including deans and department chairs);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few</w:t>
            </w:r>
            <w:r w:rsidR="009E2FC8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questions </w:t>
            </w:r>
            <w:r w:rsidR="00DF0FB9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at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mid-year that are not already addressed in the handbook</w:t>
            </w:r>
          </w:p>
          <w:p w14:paraId="408A7963" w14:textId="03CC4238" w:rsidR="00C763C1" w:rsidRDefault="00C763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Relationships delineated and included in the Handbook</w:t>
            </w:r>
          </w:p>
          <w:p w14:paraId="1DFA67B5" w14:textId="2A60D8D0" w:rsidR="00C763C1" w:rsidRDefault="00C763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Quality control mechanisms implemented</w:t>
            </w:r>
          </w:p>
          <w:p w14:paraId="606A6353" w14:textId="7E5B7694" w:rsidR="00C763C1" w:rsidRDefault="00C763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Evaluation and improvement provisions implemented</w:t>
            </w:r>
          </w:p>
          <w:p w14:paraId="58C8DD7A" w14:textId="19A4339A" w:rsidR="009E2FC8" w:rsidRDefault="00DF0F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Successful completion of </w:t>
            </w:r>
            <w:r w:rsidR="009E2FC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all PRs from Academic Areas by December 2019</w:t>
            </w:r>
          </w:p>
          <w:p w14:paraId="2CE56444" w14:textId="77777777" w:rsidR="00103394" w:rsidRDefault="0010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7446176" w14:textId="77777777" w:rsidR="00103394" w:rsidRDefault="0010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</w:tcPr>
          <w:p w14:paraId="155BE721" w14:textId="77777777" w:rsidR="00103394" w:rsidRDefault="0010339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1BE88D3" w14:textId="77777777" w:rsidR="00103394" w:rsidRDefault="0010339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593C419" w14:textId="77777777" w:rsidR="00103394" w:rsidRDefault="0010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03394" w14:paraId="1E4BA129" w14:textId="77777777">
        <w:trPr>
          <w:trHeight w:val="420"/>
          <w:jc w:val="center"/>
        </w:trPr>
        <w:tc>
          <w:tcPr>
            <w:tcW w:w="1155" w:type="dxa"/>
          </w:tcPr>
          <w:p w14:paraId="1570283D" w14:textId="41608B8A" w:rsidR="00103394" w:rsidRDefault="00282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>Revamp internal data products and services to complement the Program Review process</w:t>
            </w:r>
          </w:p>
        </w:tc>
        <w:tc>
          <w:tcPr>
            <w:tcW w:w="3630" w:type="dxa"/>
          </w:tcPr>
          <w:p w14:paraId="0AC46D8A" w14:textId="77777777" w:rsidR="00103394" w:rsidRDefault="002824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Replace the homegrown, outgrown GIDS Institutional Effectiveness data warehouse system.</w:t>
            </w:r>
          </w:p>
          <w:p w14:paraId="2CAAF9E6" w14:textId="77777777" w:rsidR="00103394" w:rsidRDefault="002824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Implement data migration, and create data tools and dashboards for Program Review.</w:t>
            </w:r>
          </w:p>
          <w:p w14:paraId="3641B593" w14:textId="425B6DCD" w:rsidR="00103394" w:rsidRDefault="00176E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Train faculty </w:t>
            </w:r>
            <w:r w:rsidR="00282426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and others on how to use modules for </w:t>
            </w:r>
            <w:r w:rsidR="0046355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curriQunet</w:t>
            </w:r>
            <w:r w:rsidR="00282426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(curriculum, assessment and program review) and use of data in Program Review processes.</w:t>
            </w:r>
          </w:p>
          <w:p w14:paraId="11DF8F66" w14:textId="77777777" w:rsidR="00103394" w:rsidRDefault="001033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35" w:type="dxa"/>
          </w:tcPr>
          <w:p w14:paraId="488D06AF" w14:textId="77777777" w:rsidR="00103394" w:rsidRDefault="00282426">
            <w:pPr>
              <w:numPr>
                <w:ilvl w:val="0"/>
                <w:numId w:val="8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IT</w:t>
            </w:r>
          </w:p>
          <w:p w14:paraId="65463E1D" w14:textId="77777777" w:rsidR="00103394" w:rsidRDefault="00282426">
            <w:pPr>
              <w:numPr>
                <w:ilvl w:val="0"/>
                <w:numId w:val="8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IT, PIPR</w:t>
            </w:r>
          </w:p>
          <w:p w14:paraId="52C9D6DF" w14:textId="77777777" w:rsidR="00103394" w:rsidRDefault="001033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444F7EA" w14:textId="5C0B1E19" w:rsidR="00103394" w:rsidRDefault="00282426" w:rsidP="007E1CA0">
            <w:pPr>
              <w:numPr>
                <w:ilvl w:val="0"/>
                <w:numId w:val="8"/>
              </w:num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IT, </w:t>
            </w:r>
            <w:r w:rsidR="000618E8">
              <w:rPr>
                <w:rFonts w:ascii="Arial Narrow" w:eastAsia="Arial Narrow" w:hAnsi="Arial Narrow" w:cs="Arial Narrow"/>
                <w:sz w:val="16"/>
                <w:szCs w:val="16"/>
              </w:rPr>
              <w:t>PIPR</w:t>
            </w:r>
          </w:p>
        </w:tc>
        <w:tc>
          <w:tcPr>
            <w:tcW w:w="1410" w:type="dxa"/>
          </w:tcPr>
          <w:p w14:paraId="04E789C1" w14:textId="77777777" w:rsidR="00103394" w:rsidRDefault="00282426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1.</w:t>
            </w:r>
            <w:r w:rsidR="00176ED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May 2020+</w:t>
            </w:r>
          </w:p>
          <w:p w14:paraId="419C5800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5E8DC42" w14:textId="77777777" w:rsidR="00103394" w:rsidRDefault="00282426" w:rsidP="009E2FC8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</w:t>
            </w:r>
            <w:r w:rsidR="00176ED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August 2019</w:t>
            </w:r>
          </w:p>
          <w:p w14:paraId="715684CC" w14:textId="77777777" w:rsidR="00103394" w:rsidRDefault="00103394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F31887D" w14:textId="77777777" w:rsidR="00103394" w:rsidRDefault="00282426">
            <w:pPr>
              <w:ind w:left="18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</w:t>
            </w:r>
            <w:r w:rsidR="00176ED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May 2020</w:t>
            </w:r>
          </w:p>
          <w:p w14:paraId="4A4DD8FC" w14:textId="77777777" w:rsidR="00103394" w:rsidRDefault="001033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85" w:type="dxa"/>
          </w:tcPr>
          <w:p w14:paraId="745FB8F6" w14:textId="36871CF8" w:rsidR="000618E8" w:rsidRDefault="000D5ABB" w:rsidP="009E2F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Contract with vendor for system replacement.</w:t>
            </w:r>
          </w:p>
          <w:p w14:paraId="5AD9C927" w14:textId="77C44817" w:rsidR="000D5ABB" w:rsidRDefault="000D5ABB" w:rsidP="009E2F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Date migration:</w:t>
            </w:r>
          </w:p>
          <w:p w14:paraId="278A1084" w14:textId="786F248A" w:rsidR="00103394" w:rsidRPr="009E2FC8" w:rsidRDefault="00176EDF" w:rsidP="000D5ABB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9E2FC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Harmonize current program review data sheet in GavDATA with new PR form.  </w:t>
            </w:r>
          </w:p>
          <w:p w14:paraId="76A8710A" w14:textId="400E8714" w:rsidR="00176EDF" w:rsidRDefault="009E2FC8" w:rsidP="000D5ABB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Hire consultant and researcher to ensure data elements and appropriate fields are accurately captured during data migration</w:t>
            </w:r>
          </w:p>
          <w:p w14:paraId="0860D353" w14:textId="48902CEC" w:rsidR="000D5ABB" w:rsidRDefault="000D5A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Develop and implement training on use of </w:t>
            </w:r>
            <w:r w:rsidR="0046355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curriQunet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modules in Program Review</w:t>
            </w:r>
          </w:p>
          <w:p w14:paraId="37058BB6" w14:textId="77777777" w:rsidR="00103394" w:rsidRDefault="0010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</w:tcPr>
          <w:p w14:paraId="6ACDA15A" w14:textId="3058C9FA" w:rsidR="00103394" w:rsidRDefault="00282426">
            <w:pPr>
              <w:numPr>
                <w:ilvl w:val="0"/>
                <w:numId w:val="4"/>
              </w:numPr>
              <w:ind w:left="27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Solution/vendor </w:t>
            </w:r>
            <w:r w:rsidR="000618E8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for system replacement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established and under contract by early 2020. Timeline for full conversion </w:t>
            </w:r>
            <w:r w:rsidR="009E2FC8">
              <w:rPr>
                <w:rFonts w:ascii="Arial Narrow" w:eastAsia="Arial Narrow" w:hAnsi="Arial Narrow" w:cs="Arial Narrow"/>
                <w:sz w:val="16"/>
                <w:szCs w:val="16"/>
              </w:rPr>
              <w:t>may take 6-9 months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  <w:p w14:paraId="39096A58" w14:textId="6F17E51C" w:rsidR="000618E8" w:rsidRDefault="000D5ABB">
            <w:pPr>
              <w:numPr>
                <w:ilvl w:val="0"/>
                <w:numId w:val="4"/>
              </w:numPr>
              <w:ind w:left="27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Data sheets harmonized; consultant and researcher retained; d</w:t>
            </w:r>
            <w:r w:rsidR="000618E8">
              <w:rPr>
                <w:rFonts w:ascii="Arial Narrow" w:eastAsia="Arial Narrow" w:hAnsi="Arial Narrow" w:cs="Arial Narrow"/>
                <w:sz w:val="16"/>
                <w:szCs w:val="16"/>
              </w:rPr>
              <w:t>ata migration completed</w:t>
            </w:r>
          </w:p>
          <w:p w14:paraId="72D1CF54" w14:textId="7EB999A5" w:rsidR="000618E8" w:rsidRDefault="000618E8">
            <w:pPr>
              <w:numPr>
                <w:ilvl w:val="0"/>
                <w:numId w:val="4"/>
              </w:numPr>
              <w:ind w:left="27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Program Review tools and dashboards incorporated into new system</w:t>
            </w:r>
          </w:p>
          <w:p w14:paraId="3148598F" w14:textId="5E183AFD" w:rsidR="000D5ABB" w:rsidRDefault="0046355A">
            <w:pPr>
              <w:numPr>
                <w:ilvl w:val="0"/>
                <w:numId w:val="4"/>
              </w:numPr>
              <w:ind w:left="27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curriQunet</w:t>
            </w:r>
            <w:r w:rsidR="000D5AB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training completed</w:t>
            </w:r>
          </w:p>
          <w:p w14:paraId="6DB3EA89" w14:textId="629BF345" w:rsidR="009E2FC8" w:rsidRDefault="000618E8">
            <w:pPr>
              <w:numPr>
                <w:ilvl w:val="0"/>
                <w:numId w:val="4"/>
              </w:numPr>
              <w:ind w:left="27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="009E2FC8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ew data system </w:t>
            </w:r>
            <w:r w:rsidR="00DB7FCC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in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production by </w:t>
            </w:r>
            <w:r w:rsidR="009E2FC8">
              <w:rPr>
                <w:rFonts w:ascii="Arial Narrow" w:eastAsia="Arial Narrow" w:hAnsi="Arial Narrow" w:cs="Arial Narrow"/>
                <w:sz w:val="16"/>
                <w:szCs w:val="16"/>
              </w:rPr>
              <w:t>Fall 2020.</w:t>
            </w:r>
          </w:p>
          <w:p w14:paraId="2A3978E4" w14:textId="77777777" w:rsidR="00103394" w:rsidRDefault="00103394" w:rsidP="009E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79DF84B0" w14:textId="77777777" w:rsidR="00103394" w:rsidRDefault="0010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</w:tcPr>
          <w:p w14:paraId="0EF2472E" w14:textId="77777777" w:rsidR="00103394" w:rsidRDefault="0010339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7FA17145" w14:textId="77777777" w:rsidR="00103394" w:rsidRDefault="0010339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F8361CB" w14:textId="77777777" w:rsidR="00103394" w:rsidRDefault="0010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56725179" w14:textId="77777777" w:rsidR="00103394" w:rsidRDefault="00103394"/>
    <w:p w14:paraId="7AAC75E8" w14:textId="77777777" w:rsidR="00103394" w:rsidRDefault="00282426">
      <w:pPr>
        <w:rPr>
          <w:rFonts w:ascii="Arial" w:eastAsia="Arial" w:hAnsi="Arial" w:cs="Arial"/>
          <w:b/>
        </w:rPr>
      </w:pPr>
      <w:r>
        <w:br w:type="page"/>
      </w:r>
    </w:p>
    <w:p w14:paraId="45343526" w14:textId="77777777" w:rsidR="00103394" w:rsidRDefault="0028242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Request for IEPI Resources to Support Institutional Innovation and Effectiveness Plan</w:t>
      </w:r>
    </w:p>
    <w:p w14:paraId="7EE7D3FC" w14:textId="77777777" w:rsidR="00103394" w:rsidRDefault="00103394"/>
    <w:tbl>
      <w:tblPr>
        <w:tblStyle w:val="a0"/>
        <w:tblW w:w="13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3600"/>
        <w:gridCol w:w="5040"/>
        <w:gridCol w:w="1440"/>
      </w:tblGrid>
      <w:tr w:rsidR="00103394" w14:paraId="48893297" w14:textId="77777777">
        <w:trPr>
          <w:jc w:val="center"/>
        </w:trPr>
        <w:tc>
          <w:tcPr>
            <w:tcW w:w="3168" w:type="dxa"/>
            <w:vAlign w:val="bottom"/>
          </w:tcPr>
          <w:p w14:paraId="1EBC5AF1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Applicable Area(s) of Focus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(Copy from table above.)</w:t>
            </w:r>
          </w:p>
        </w:tc>
        <w:tc>
          <w:tcPr>
            <w:tcW w:w="3600" w:type="dxa"/>
            <w:vAlign w:val="bottom"/>
          </w:tcPr>
          <w:p w14:paraId="3AF994B6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Applicable Objective(s)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(Copy from table above.)</w:t>
            </w:r>
          </w:p>
        </w:tc>
        <w:tc>
          <w:tcPr>
            <w:tcW w:w="5040" w:type="dxa"/>
            <w:vAlign w:val="bottom"/>
          </w:tcPr>
          <w:p w14:paraId="13CAD6B2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Description of Resource Needed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(Refer to Action Steps above as appropriate.)</w:t>
            </w:r>
          </w:p>
        </w:tc>
        <w:tc>
          <w:tcPr>
            <w:tcW w:w="1440" w:type="dxa"/>
            <w:vAlign w:val="bottom"/>
          </w:tcPr>
          <w:p w14:paraId="679B3690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Cost of Resource</w:t>
            </w:r>
          </w:p>
        </w:tc>
      </w:tr>
      <w:tr w:rsidR="00103394" w14:paraId="6796EC1D" w14:textId="77777777">
        <w:trPr>
          <w:trHeight w:val="420"/>
          <w:jc w:val="center"/>
        </w:trPr>
        <w:tc>
          <w:tcPr>
            <w:tcW w:w="3168" w:type="dxa"/>
          </w:tcPr>
          <w:p w14:paraId="5266A37F" w14:textId="77777777" w:rsidR="00103394" w:rsidRDefault="00282426">
            <w:pPr>
              <w:ind w:left="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Review and improve the Program Review process</w:t>
            </w:r>
          </w:p>
        </w:tc>
        <w:tc>
          <w:tcPr>
            <w:tcW w:w="3600" w:type="dxa"/>
          </w:tcPr>
          <w:p w14:paraId="469B1468" w14:textId="77777777" w:rsidR="00103394" w:rsidRDefault="00282426">
            <w:pPr>
              <w:numPr>
                <w:ilvl w:val="0"/>
                <w:numId w:val="9"/>
              </w:numPr>
              <w:ind w:left="270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Provide professional learning on PR processes, including the use of data to support PR.</w:t>
            </w:r>
          </w:p>
        </w:tc>
        <w:tc>
          <w:tcPr>
            <w:tcW w:w="5040" w:type="dxa"/>
          </w:tcPr>
          <w:p w14:paraId="466AA862" w14:textId="6566A4DA" w:rsidR="00103394" w:rsidRDefault="009E2FC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Resources needed are stipends for faculty PIPR members to allow for additional training and assistance, stipends for PT department chairs and other faculty stakeholders to incentivize training and </w:t>
            </w:r>
            <w:r w:rsidR="0046355A">
              <w:rPr>
                <w:rFonts w:ascii="Arial Narrow" w:eastAsia="Arial Narrow" w:hAnsi="Arial Narrow" w:cs="Arial Narrow"/>
                <w:sz w:val="16"/>
                <w:szCs w:val="16"/>
              </w:rPr>
              <w:t>revi</w:t>
            </w:r>
            <w:r w:rsidR="008C556E">
              <w:rPr>
                <w:rFonts w:ascii="Arial Narrow" w:eastAsia="Arial Narrow" w:hAnsi="Arial Narrow" w:cs="Arial Narrow"/>
                <w:sz w:val="16"/>
                <w:szCs w:val="16"/>
              </w:rPr>
              <w:t>ew and planning document completion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Possible outside consultant fee to do professional training on goal setting, use of data and use of SLO data as it relates to PIPR completion.</w:t>
            </w:r>
          </w:p>
        </w:tc>
        <w:tc>
          <w:tcPr>
            <w:tcW w:w="1440" w:type="dxa"/>
          </w:tcPr>
          <w:p w14:paraId="04CA7FD6" w14:textId="77777777" w:rsidR="00103394" w:rsidRDefault="009E2FC8" w:rsidP="009E2FC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$10,000</w:t>
            </w:r>
          </w:p>
        </w:tc>
      </w:tr>
      <w:tr w:rsidR="00103394" w14:paraId="2B8F1D9E" w14:textId="77777777">
        <w:trPr>
          <w:trHeight w:val="420"/>
          <w:jc w:val="center"/>
        </w:trPr>
        <w:tc>
          <w:tcPr>
            <w:tcW w:w="3168" w:type="dxa"/>
          </w:tcPr>
          <w:p w14:paraId="23ECF74B" w14:textId="77777777" w:rsidR="00103394" w:rsidRDefault="00282426">
            <w:pPr>
              <w:ind w:left="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Revamp internal data products and services to complement the Program Review process</w:t>
            </w:r>
          </w:p>
        </w:tc>
        <w:tc>
          <w:tcPr>
            <w:tcW w:w="3600" w:type="dxa"/>
          </w:tcPr>
          <w:p w14:paraId="3BA88457" w14:textId="77777777" w:rsidR="00103394" w:rsidRDefault="00282426" w:rsidP="00CC2CE3">
            <w:pPr>
              <w:numPr>
                <w:ilvl w:val="0"/>
                <w:numId w:val="14"/>
              </w:numPr>
              <w:ind w:left="273" w:hanging="18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Replace the homegrown, outgrown GIDS Institutional Effectiveness data warehouse system.</w:t>
            </w:r>
          </w:p>
          <w:p w14:paraId="7333CF3C" w14:textId="59783E67" w:rsidR="00CC2CE3" w:rsidRPr="00CC2CE3" w:rsidRDefault="00CC2CE3" w:rsidP="00CC2CE3">
            <w:pPr>
              <w:numPr>
                <w:ilvl w:val="0"/>
                <w:numId w:val="14"/>
              </w:numPr>
              <w:ind w:left="273" w:hanging="18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Implement data migration, and create data tools and dashboards for Program Review </w:t>
            </w:r>
          </w:p>
        </w:tc>
        <w:tc>
          <w:tcPr>
            <w:tcW w:w="5040" w:type="dxa"/>
          </w:tcPr>
          <w:p w14:paraId="25A22B9B" w14:textId="77777777" w:rsidR="00103394" w:rsidRDefault="009E2FC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Banner migration fee for database migration (quote received not including external consultant/researcher contract)</w:t>
            </w:r>
          </w:p>
        </w:tc>
        <w:tc>
          <w:tcPr>
            <w:tcW w:w="1440" w:type="dxa"/>
          </w:tcPr>
          <w:p w14:paraId="596FA80F" w14:textId="77777777" w:rsidR="00103394" w:rsidRDefault="009E2FC8" w:rsidP="009E2FC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$190,000</w:t>
            </w:r>
          </w:p>
        </w:tc>
      </w:tr>
      <w:tr w:rsidR="00103394" w14:paraId="5C095018" w14:textId="77777777">
        <w:trPr>
          <w:trHeight w:val="420"/>
          <w:jc w:val="center"/>
        </w:trPr>
        <w:tc>
          <w:tcPr>
            <w:tcW w:w="3168" w:type="dxa"/>
            <w:vAlign w:val="center"/>
          </w:tcPr>
          <w:p w14:paraId="2C700BE5" w14:textId="77777777" w:rsidR="00103394" w:rsidRDefault="00282426">
            <w:pPr>
              <w:jc w:val="right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IEPI Resource Request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br/>
              <w:t>(not to exceed $200,000 per college)</w:t>
            </w:r>
          </w:p>
        </w:tc>
        <w:tc>
          <w:tcPr>
            <w:tcW w:w="3600" w:type="dxa"/>
            <w:shd w:val="clear" w:color="auto" w:fill="A6A6A6"/>
          </w:tcPr>
          <w:p w14:paraId="61850D55" w14:textId="77777777" w:rsidR="00103394" w:rsidRDefault="00103394">
            <w:pPr>
              <w:ind w:left="144" w:hanging="144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040" w:type="dxa"/>
            <w:shd w:val="clear" w:color="auto" w:fill="A6A6A6"/>
          </w:tcPr>
          <w:p w14:paraId="485D581C" w14:textId="77777777" w:rsidR="00103394" w:rsidRDefault="001033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00A0908" w14:textId="77777777" w:rsidR="00103394" w:rsidRDefault="009E2FC8">
            <w:pPr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$200,000</w:t>
            </w:r>
          </w:p>
        </w:tc>
      </w:tr>
    </w:tbl>
    <w:p w14:paraId="6C52A0E7" w14:textId="77777777" w:rsidR="00103394" w:rsidRDefault="00103394"/>
    <w:tbl>
      <w:tblPr>
        <w:tblStyle w:val="a1"/>
        <w:tblW w:w="14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2448"/>
        <w:gridCol w:w="720"/>
        <w:gridCol w:w="4320"/>
        <w:gridCol w:w="2448"/>
      </w:tblGrid>
      <w:tr w:rsidR="00103394" w14:paraId="2E5390EE" w14:textId="77777777">
        <w:trPr>
          <w:jc w:val="center"/>
        </w:trPr>
        <w:tc>
          <w:tcPr>
            <w:tcW w:w="6768" w:type="dxa"/>
            <w:gridSpan w:val="2"/>
            <w:vAlign w:val="bottom"/>
          </w:tcPr>
          <w:p w14:paraId="38F3A53F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Approval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1727F1" w14:textId="77777777" w:rsidR="00103394" w:rsidRDefault="0010339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2"/>
            <w:vAlign w:val="bottom"/>
          </w:tcPr>
          <w:p w14:paraId="71644262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Collegial Consultation with the Academic Senate</w:t>
            </w:r>
          </w:p>
        </w:tc>
      </w:tr>
      <w:tr w:rsidR="00103394" w14:paraId="7768D392" w14:textId="77777777">
        <w:trPr>
          <w:jc w:val="center"/>
        </w:trPr>
        <w:tc>
          <w:tcPr>
            <w:tcW w:w="6768" w:type="dxa"/>
            <w:gridSpan w:val="2"/>
            <w:vAlign w:val="bottom"/>
          </w:tcPr>
          <w:p w14:paraId="56EBC085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Chief Executive Officer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4581CA" w14:textId="77777777" w:rsidR="00103394" w:rsidRDefault="0010339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2"/>
            <w:vAlign w:val="bottom"/>
          </w:tcPr>
          <w:p w14:paraId="5E90E332" w14:textId="77777777" w:rsidR="00103394" w:rsidRDefault="0028242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Academic Senate President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(As applicable; duplicate if needed for district-level I&amp;EP)</w:t>
            </w:r>
          </w:p>
        </w:tc>
      </w:tr>
      <w:tr w:rsidR="00103394" w14:paraId="436870EA" w14:textId="77777777">
        <w:trPr>
          <w:trHeight w:val="420"/>
          <w:jc w:val="center"/>
        </w:trPr>
        <w:tc>
          <w:tcPr>
            <w:tcW w:w="6768" w:type="dxa"/>
            <w:gridSpan w:val="2"/>
            <w:vAlign w:val="bottom"/>
          </w:tcPr>
          <w:p w14:paraId="0B898326" w14:textId="77777777" w:rsidR="00103394" w:rsidRDefault="0028242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Name: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35790D11" w14:textId="77777777" w:rsidR="00103394" w:rsidRDefault="0010339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68" w:type="dxa"/>
            <w:gridSpan w:val="2"/>
            <w:vAlign w:val="bottom"/>
          </w:tcPr>
          <w:p w14:paraId="7FF70ADB" w14:textId="77777777" w:rsidR="00103394" w:rsidRDefault="0028242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Name:</w:t>
            </w:r>
          </w:p>
        </w:tc>
      </w:tr>
      <w:tr w:rsidR="00103394" w14:paraId="2AB58354" w14:textId="77777777">
        <w:trPr>
          <w:trHeight w:val="420"/>
          <w:jc w:val="center"/>
        </w:trPr>
        <w:tc>
          <w:tcPr>
            <w:tcW w:w="4320" w:type="dxa"/>
            <w:vAlign w:val="bottom"/>
          </w:tcPr>
          <w:p w14:paraId="18C09681" w14:textId="77777777" w:rsidR="00103394" w:rsidRDefault="0028242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Signature or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E-signature:</w:t>
            </w:r>
          </w:p>
        </w:tc>
        <w:tc>
          <w:tcPr>
            <w:tcW w:w="2448" w:type="dxa"/>
            <w:tcBorders>
              <w:top w:val="single" w:sz="4" w:space="0" w:color="000000"/>
            </w:tcBorders>
            <w:vAlign w:val="bottom"/>
          </w:tcPr>
          <w:p w14:paraId="2F5A9002" w14:textId="77777777" w:rsidR="00103394" w:rsidRDefault="0028242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Date: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40535898" w14:textId="77777777" w:rsidR="00103394" w:rsidRDefault="0010339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587A9E14" w14:textId="77777777" w:rsidR="00103394" w:rsidRDefault="0028242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Signature or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E-signature:</w:t>
            </w:r>
          </w:p>
        </w:tc>
        <w:tc>
          <w:tcPr>
            <w:tcW w:w="2448" w:type="dxa"/>
            <w:tcBorders>
              <w:top w:val="single" w:sz="4" w:space="0" w:color="000000"/>
            </w:tcBorders>
            <w:vAlign w:val="bottom"/>
          </w:tcPr>
          <w:p w14:paraId="730F3D74" w14:textId="77777777" w:rsidR="00103394" w:rsidRDefault="0028242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Date:</w:t>
            </w:r>
          </w:p>
        </w:tc>
      </w:tr>
    </w:tbl>
    <w:p w14:paraId="107BEE7B" w14:textId="77777777" w:rsidR="00103394" w:rsidRDefault="00103394">
      <w:pPr>
        <w:rPr>
          <w:sz w:val="8"/>
          <w:szCs w:val="8"/>
        </w:rPr>
      </w:pPr>
    </w:p>
    <w:sectPr w:rsidR="00103394" w:rsidSect="005E3F17">
      <w:footerReference w:type="default" r:id="rId9"/>
      <w:pgSz w:w="15840" w:h="12240"/>
      <w:pgMar w:top="720" w:right="432" w:bottom="1260" w:left="432" w:header="432" w:footer="432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020AAC" w15:done="0"/>
  <w15:commentEx w15:paraId="0BF84C30" w15:done="0"/>
  <w15:commentEx w15:paraId="4001AE11" w15:done="0"/>
  <w15:commentEx w15:paraId="5AB556F9" w15:done="0"/>
  <w15:commentEx w15:paraId="4C439520" w15:done="0"/>
  <w15:commentEx w15:paraId="35558D3D" w15:done="0"/>
  <w15:commentEx w15:paraId="3B0FFE98" w15:done="0"/>
  <w15:commentEx w15:paraId="4FEE9AEA" w15:done="0"/>
  <w15:commentEx w15:paraId="59F15FF6" w15:done="0"/>
  <w15:commentEx w15:paraId="634B16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020AAC" w16cid:durableId="21060FCB"/>
  <w16cid:commentId w16cid:paraId="0BF84C30" w16cid:durableId="2106131F"/>
  <w16cid:commentId w16cid:paraId="4001AE11" w16cid:durableId="21061485"/>
  <w16cid:commentId w16cid:paraId="5AB556F9" w16cid:durableId="210615AD"/>
  <w16cid:commentId w16cid:paraId="4C439520" w16cid:durableId="210613B9"/>
  <w16cid:commentId w16cid:paraId="35558D3D" w16cid:durableId="21061B2E"/>
  <w16cid:commentId w16cid:paraId="3B0FFE98" w16cid:durableId="21061966"/>
  <w16cid:commentId w16cid:paraId="4FEE9AEA" w16cid:durableId="21061BC4"/>
  <w16cid:commentId w16cid:paraId="59F15FF6" w16cid:durableId="21061E35"/>
  <w16cid:commentId w16cid:paraId="634B16D9" w16cid:durableId="210620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E71C4" w14:textId="77777777" w:rsidR="00A150FD" w:rsidRDefault="00A150FD">
      <w:r>
        <w:separator/>
      </w:r>
    </w:p>
  </w:endnote>
  <w:endnote w:type="continuationSeparator" w:id="0">
    <w:p w14:paraId="713C866D" w14:textId="77777777" w:rsidR="00A150FD" w:rsidRDefault="00A1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8651E" w14:textId="77777777" w:rsidR="00103394" w:rsidRDefault="002824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5E3F17">
      <w:rPr>
        <w:rFonts w:ascii="Arial" w:eastAsia="Arial" w:hAnsi="Arial" w:cs="Arial"/>
        <w:i/>
        <w:noProof/>
        <w:color w:val="000000"/>
        <w:sz w:val="16"/>
        <w:szCs w:val="16"/>
      </w:rPr>
      <w:t>2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17523" w14:textId="77777777" w:rsidR="00A150FD" w:rsidRDefault="00A150FD">
      <w:r>
        <w:separator/>
      </w:r>
    </w:p>
  </w:footnote>
  <w:footnote w:type="continuationSeparator" w:id="0">
    <w:p w14:paraId="5A173D34" w14:textId="77777777" w:rsidR="00A150FD" w:rsidRDefault="00A1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D2A"/>
    <w:multiLevelType w:val="multilevel"/>
    <w:tmpl w:val="7F6E1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0CB0"/>
    <w:multiLevelType w:val="multilevel"/>
    <w:tmpl w:val="FAD69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83B"/>
    <w:multiLevelType w:val="multilevel"/>
    <w:tmpl w:val="F7F66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0AD3D48"/>
    <w:multiLevelType w:val="multilevel"/>
    <w:tmpl w:val="701C7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17DC1"/>
    <w:multiLevelType w:val="multilevel"/>
    <w:tmpl w:val="AEDEF01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63ECD"/>
    <w:multiLevelType w:val="multilevel"/>
    <w:tmpl w:val="EAA6A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C12E9"/>
    <w:multiLevelType w:val="multilevel"/>
    <w:tmpl w:val="46442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84917"/>
    <w:multiLevelType w:val="multilevel"/>
    <w:tmpl w:val="93524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1055C"/>
    <w:multiLevelType w:val="multilevel"/>
    <w:tmpl w:val="B276E9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4AB67F7E"/>
    <w:multiLevelType w:val="multilevel"/>
    <w:tmpl w:val="D8ACD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4352BEF"/>
    <w:multiLevelType w:val="multilevel"/>
    <w:tmpl w:val="68E82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4B4349A"/>
    <w:multiLevelType w:val="multilevel"/>
    <w:tmpl w:val="79D092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75EDA"/>
    <w:multiLevelType w:val="multilevel"/>
    <w:tmpl w:val="227C34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FC34D65"/>
    <w:multiLevelType w:val="multilevel"/>
    <w:tmpl w:val="C986C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hew Lee">
    <w15:presenceInfo w15:providerId="Windows Live" w15:userId="dcd62b66aaa607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94"/>
    <w:rsid w:val="000618E8"/>
    <w:rsid w:val="000D5ABB"/>
    <w:rsid w:val="00103394"/>
    <w:rsid w:val="0014726B"/>
    <w:rsid w:val="00176EDF"/>
    <w:rsid w:val="00282426"/>
    <w:rsid w:val="00285047"/>
    <w:rsid w:val="00301A88"/>
    <w:rsid w:val="003149E2"/>
    <w:rsid w:val="0046355A"/>
    <w:rsid w:val="00505E68"/>
    <w:rsid w:val="00542809"/>
    <w:rsid w:val="005476D8"/>
    <w:rsid w:val="005E3F17"/>
    <w:rsid w:val="00627DF4"/>
    <w:rsid w:val="006771C0"/>
    <w:rsid w:val="00742197"/>
    <w:rsid w:val="007C503E"/>
    <w:rsid w:val="007E1CA0"/>
    <w:rsid w:val="00851B01"/>
    <w:rsid w:val="008C556E"/>
    <w:rsid w:val="0096673A"/>
    <w:rsid w:val="00982567"/>
    <w:rsid w:val="009E2FC8"/>
    <w:rsid w:val="00A150FD"/>
    <w:rsid w:val="00B35F6E"/>
    <w:rsid w:val="00B6285F"/>
    <w:rsid w:val="00BC2974"/>
    <w:rsid w:val="00C000C8"/>
    <w:rsid w:val="00C458D4"/>
    <w:rsid w:val="00C763C1"/>
    <w:rsid w:val="00CC03F3"/>
    <w:rsid w:val="00CC2CE3"/>
    <w:rsid w:val="00D47FC8"/>
    <w:rsid w:val="00DB7FCC"/>
    <w:rsid w:val="00DF0FB9"/>
    <w:rsid w:val="00F653D1"/>
    <w:rsid w:val="00F87A31"/>
    <w:rsid w:val="00FA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2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76E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76E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Jowel Laguerre</dc:creator>
  <cp:lastModifiedBy>Administrator</cp:lastModifiedBy>
  <cp:revision>2</cp:revision>
  <dcterms:created xsi:type="dcterms:W3CDTF">2019-08-23T23:29:00Z</dcterms:created>
  <dcterms:modified xsi:type="dcterms:W3CDTF">2019-08-23T23:29:00Z</dcterms:modified>
</cp:coreProperties>
</file>