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D" w:rsidRDefault="00C83C5D" w:rsidP="00C83C5D">
      <w:pPr>
        <w:spacing w:after="0" w:line="240" w:lineRule="auto"/>
        <w:jc w:val="center"/>
        <w:rPr>
          <w:b/>
          <w:sz w:val="40"/>
          <w:szCs w:val="40"/>
        </w:rPr>
      </w:pPr>
      <w:bookmarkStart w:id="0" w:name="_GoBack"/>
      <w:bookmarkEnd w:id="0"/>
    </w:p>
    <w:p w:rsidR="008D0DF6" w:rsidRDefault="00C83C5D" w:rsidP="00C83C5D">
      <w:pPr>
        <w:spacing w:after="0" w:line="240" w:lineRule="auto"/>
        <w:jc w:val="center"/>
        <w:rPr>
          <w:b/>
          <w:sz w:val="40"/>
          <w:szCs w:val="40"/>
        </w:rPr>
      </w:pPr>
      <w:r>
        <w:rPr>
          <w:b/>
          <w:sz w:val="40"/>
          <w:szCs w:val="40"/>
        </w:rPr>
        <w:t xml:space="preserve">Suggested </w:t>
      </w:r>
      <w:r w:rsidR="008D0DF6">
        <w:rPr>
          <w:b/>
          <w:sz w:val="40"/>
          <w:szCs w:val="40"/>
        </w:rPr>
        <w:t xml:space="preserve">Strategic Plan Goals </w:t>
      </w:r>
    </w:p>
    <w:p w:rsidR="00C83C5D" w:rsidRPr="00C83C5D" w:rsidRDefault="00C83C5D" w:rsidP="00C83C5D">
      <w:pPr>
        <w:spacing w:after="0" w:line="240" w:lineRule="auto"/>
        <w:jc w:val="center"/>
        <w:rPr>
          <w:b/>
          <w:sz w:val="16"/>
          <w:szCs w:val="16"/>
        </w:rPr>
      </w:pPr>
    </w:p>
    <w:tbl>
      <w:tblPr>
        <w:tblStyle w:val="TableGrid"/>
        <w:tblW w:w="0" w:type="auto"/>
        <w:tblLook w:val="04A0" w:firstRow="1" w:lastRow="0" w:firstColumn="1" w:lastColumn="0" w:noHBand="0" w:noVBand="1"/>
      </w:tblPr>
      <w:tblGrid>
        <w:gridCol w:w="4622"/>
        <w:gridCol w:w="4954"/>
      </w:tblGrid>
      <w:tr w:rsidR="008D0DF6" w:rsidTr="00812577">
        <w:trPr>
          <w:trHeight w:val="422"/>
        </w:trPr>
        <w:tc>
          <w:tcPr>
            <w:tcW w:w="9576" w:type="dxa"/>
            <w:gridSpan w:val="2"/>
            <w:shd w:val="clear" w:color="auto" w:fill="B8CCE4" w:themeFill="accent1" w:themeFillTint="66"/>
          </w:tcPr>
          <w:p w:rsidR="008D0DF6" w:rsidRPr="006142FE" w:rsidRDefault="008D0DF6" w:rsidP="00812577">
            <w:pPr>
              <w:jc w:val="center"/>
              <w:rPr>
                <w:sz w:val="28"/>
                <w:szCs w:val="28"/>
              </w:rPr>
            </w:pPr>
            <w:r>
              <w:rPr>
                <w:sz w:val="28"/>
                <w:szCs w:val="28"/>
              </w:rPr>
              <w:t>Gavilan College Strategic Plan Goals</w:t>
            </w:r>
          </w:p>
        </w:tc>
      </w:tr>
      <w:tr w:rsidR="008D0DF6" w:rsidTr="00812577">
        <w:trPr>
          <w:trHeight w:val="4013"/>
        </w:trPr>
        <w:tc>
          <w:tcPr>
            <w:tcW w:w="4788" w:type="dxa"/>
          </w:tcPr>
          <w:p w:rsidR="008D0DF6" w:rsidRPr="00A74A00" w:rsidRDefault="008D0DF6" w:rsidP="00812577">
            <w:pPr>
              <w:rPr>
                <w:b/>
                <w:sz w:val="24"/>
                <w:szCs w:val="24"/>
              </w:rPr>
            </w:pPr>
            <w:r w:rsidRPr="00A74A00">
              <w:rPr>
                <w:b/>
                <w:sz w:val="24"/>
                <w:szCs w:val="24"/>
              </w:rPr>
              <w:t>1. Increase Achievement</w:t>
            </w:r>
          </w:p>
          <w:p w:rsidR="008D0DF6" w:rsidRPr="00A74A00" w:rsidRDefault="008D0DF6" w:rsidP="00812577">
            <w:pPr>
              <w:rPr>
                <w:sz w:val="16"/>
                <w:szCs w:val="16"/>
              </w:rPr>
            </w:pPr>
          </w:p>
          <w:p w:rsidR="008D0DF6" w:rsidRPr="00C83C5D" w:rsidRDefault="008D0DF6" w:rsidP="00812577">
            <w:r w:rsidRPr="00C83C5D">
              <w:t>Within three years, increase the proportion of students completing transfer level English and Math within one year of matriculation from 11% to 18%.  Within five years, increase to 29%.</w:t>
            </w:r>
          </w:p>
          <w:p w:rsidR="008D0DF6" w:rsidRPr="00C83C5D" w:rsidRDefault="008D0DF6" w:rsidP="00812577"/>
          <w:p w:rsidR="008D0DF6" w:rsidRPr="00C83C5D" w:rsidRDefault="008D0DF6" w:rsidP="00812577">
            <w:r w:rsidRPr="00C83C5D">
              <w:t>Within three years, increase the number of students completing transfer level English and Math within one year of matriculation from 92 to 118.  Within five years, increase to 243.</w:t>
            </w:r>
          </w:p>
          <w:p w:rsidR="008D0DF6" w:rsidRPr="00C83C5D" w:rsidRDefault="008D0DF6" w:rsidP="00812577"/>
          <w:p w:rsidR="008D0DF6" w:rsidRPr="00284CC4" w:rsidRDefault="008D0DF6" w:rsidP="00812577">
            <w:pPr>
              <w:rPr>
                <w:sz w:val="28"/>
                <w:szCs w:val="28"/>
              </w:rPr>
            </w:pPr>
            <w:r w:rsidRPr="00C83C5D">
              <w:t>Within three years, increase the number of students completing associates degrees from 554 to 582, completing Vision success outcomes from 681 to 729, completing certificates, or specific skill sets that prepare them for in-demand jobs from 622 to 665.</w:t>
            </w:r>
          </w:p>
        </w:tc>
        <w:tc>
          <w:tcPr>
            <w:tcW w:w="4788" w:type="dxa"/>
          </w:tcPr>
          <w:p w:rsidR="008D0DF6" w:rsidRPr="00A74A00" w:rsidRDefault="008D0DF6" w:rsidP="00812577">
            <w:pPr>
              <w:rPr>
                <w:b/>
                <w:sz w:val="24"/>
                <w:szCs w:val="24"/>
              </w:rPr>
            </w:pPr>
            <w:r w:rsidRPr="00A74A00">
              <w:rPr>
                <w:b/>
                <w:sz w:val="24"/>
                <w:szCs w:val="24"/>
              </w:rPr>
              <w:t>2. Improve Efficiency</w:t>
            </w:r>
          </w:p>
          <w:p w:rsidR="008D0DF6" w:rsidRPr="00A74A00" w:rsidRDefault="008D0DF6" w:rsidP="00812577">
            <w:pPr>
              <w:rPr>
                <w:sz w:val="16"/>
                <w:szCs w:val="16"/>
              </w:rPr>
            </w:pPr>
          </w:p>
          <w:p w:rsidR="008D0DF6" w:rsidRPr="00A74A00" w:rsidRDefault="008D0DF6" w:rsidP="00812577">
            <w:pPr>
              <w:rPr>
                <w:sz w:val="24"/>
                <w:szCs w:val="24"/>
              </w:rPr>
            </w:pPr>
            <w:r w:rsidRPr="00A74A00">
              <w:rPr>
                <w:sz w:val="24"/>
                <w:szCs w:val="24"/>
              </w:rPr>
              <w:t>Decrease the average number of units taken by graduates from 8</w:t>
            </w:r>
            <w:r>
              <w:rPr>
                <w:sz w:val="24"/>
                <w:szCs w:val="24"/>
              </w:rPr>
              <w:t>9</w:t>
            </w:r>
            <w:r w:rsidRPr="00A74A00">
              <w:rPr>
                <w:sz w:val="24"/>
                <w:szCs w:val="24"/>
              </w:rPr>
              <w:t xml:space="preserve"> units to 8</w:t>
            </w:r>
            <w:r>
              <w:rPr>
                <w:sz w:val="24"/>
                <w:szCs w:val="24"/>
              </w:rPr>
              <w:t>5</w:t>
            </w:r>
            <w:r w:rsidRPr="00A74A00">
              <w:rPr>
                <w:sz w:val="24"/>
                <w:szCs w:val="24"/>
              </w:rPr>
              <w:t xml:space="preserve"> units in three years, and to 77 units in five years.</w:t>
            </w:r>
          </w:p>
        </w:tc>
      </w:tr>
      <w:tr w:rsidR="008D0DF6" w:rsidTr="00C83C5D">
        <w:trPr>
          <w:trHeight w:val="70"/>
        </w:trPr>
        <w:tc>
          <w:tcPr>
            <w:tcW w:w="4788" w:type="dxa"/>
          </w:tcPr>
          <w:p w:rsidR="008D0DF6" w:rsidRPr="00A74A00" w:rsidRDefault="008D0DF6" w:rsidP="00812577">
            <w:pPr>
              <w:rPr>
                <w:b/>
                <w:sz w:val="24"/>
                <w:szCs w:val="24"/>
              </w:rPr>
            </w:pPr>
            <w:r w:rsidRPr="00A74A00">
              <w:rPr>
                <w:b/>
                <w:sz w:val="24"/>
                <w:szCs w:val="24"/>
              </w:rPr>
              <w:t>3. Improve Employment</w:t>
            </w:r>
          </w:p>
          <w:p w:rsidR="008D0DF6" w:rsidRPr="00A74A00" w:rsidRDefault="008D0DF6" w:rsidP="00812577">
            <w:pPr>
              <w:rPr>
                <w:sz w:val="16"/>
                <w:szCs w:val="16"/>
              </w:rPr>
            </w:pPr>
          </w:p>
          <w:p w:rsidR="008D0DF6" w:rsidRPr="00A74A00" w:rsidRDefault="008D0DF6" w:rsidP="00812577">
            <w:pPr>
              <w:rPr>
                <w:sz w:val="24"/>
                <w:szCs w:val="24"/>
              </w:rPr>
            </w:pPr>
            <w:r w:rsidRPr="00A74A00">
              <w:rPr>
                <w:sz w:val="24"/>
                <w:szCs w:val="24"/>
              </w:rPr>
              <w:t>Increase the proportion of CE graduates employed in their field of study from 7</w:t>
            </w:r>
            <w:r>
              <w:rPr>
                <w:sz w:val="24"/>
                <w:szCs w:val="24"/>
              </w:rPr>
              <w:t>4</w:t>
            </w:r>
            <w:r w:rsidRPr="00A74A00">
              <w:rPr>
                <w:sz w:val="24"/>
                <w:szCs w:val="24"/>
              </w:rPr>
              <w:t>% to 7</w:t>
            </w:r>
            <w:r>
              <w:rPr>
                <w:sz w:val="24"/>
                <w:szCs w:val="24"/>
              </w:rPr>
              <w:t>8% over three years, from 31 students to 32 students.</w:t>
            </w:r>
          </w:p>
        </w:tc>
        <w:tc>
          <w:tcPr>
            <w:tcW w:w="4788" w:type="dxa"/>
          </w:tcPr>
          <w:p w:rsidR="008D0DF6" w:rsidRPr="00A74A00" w:rsidRDefault="008D0DF6" w:rsidP="00812577">
            <w:pPr>
              <w:rPr>
                <w:b/>
                <w:sz w:val="24"/>
                <w:szCs w:val="24"/>
              </w:rPr>
            </w:pPr>
            <w:r w:rsidRPr="00A74A00">
              <w:rPr>
                <w:b/>
                <w:sz w:val="24"/>
                <w:szCs w:val="24"/>
              </w:rPr>
              <w:t>4. Improve Equity</w:t>
            </w:r>
          </w:p>
          <w:p w:rsidR="008D0DF6" w:rsidRPr="00A74A00" w:rsidRDefault="008D0DF6" w:rsidP="00812577">
            <w:pPr>
              <w:rPr>
                <w:sz w:val="16"/>
                <w:szCs w:val="16"/>
              </w:rPr>
            </w:pPr>
          </w:p>
          <w:p w:rsidR="008D0DF6" w:rsidRDefault="008D0DF6" w:rsidP="00812577">
            <w:pPr>
              <w:rPr>
                <w:sz w:val="24"/>
                <w:szCs w:val="24"/>
              </w:rPr>
            </w:pPr>
            <w:r w:rsidRPr="00A74A00">
              <w:rPr>
                <w:sz w:val="24"/>
                <w:szCs w:val="24"/>
              </w:rPr>
              <w:t>Improve equity outcomes by increasing course completion and graduation rates in target populations by five percentage points over three years.</w:t>
            </w:r>
          </w:p>
          <w:tbl>
            <w:tblPr>
              <w:tblStyle w:val="TableGrid"/>
              <w:tblW w:w="4728" w:type="dxa"/>
              <w:tblLook w:val="04A0" w:firstRow="1" w:lastRow="0" w:firstColumn="1" w:lastColumn="0" w:noHBand="0" w:noVBand="1"/>
            </w:tblPr>
            <w:tblGrid>
              <w:gridCol w:w="1198"/>
              <w:gridCol w:w="1155"/>
              <w:gridCol w:w="859"/>
              <w:gridCol w:w="793"/>
              <w:gridCol w:w="723"/>
            </w:tblGrid>
            <w:tr w:rsidR="008D0DF6" w:rsidTr="00812577">
              <w:trPr>
                <w:trHeight w:val="570"/>
              </w:trPr>
              <w:tc>
                <w:tcPr>
                  <w:tcW w:w="1198" w:type="dxa"/>
                  <w:vMerge w:val="restart"/>
                </w:tcPr>
                <w:p w:rsidR="008D0DF6" w:rsidRPr="00983089" w:rsidRDefault="008D0DF6" w:rsidP="00812577">
                  <w:pPr>
                    <w:rPr>
                      <w:sz w:val="20"/>
                      <w:szCs w:val="20"/>
                    </w:rPr>
                  </w:pPr>
                  <w:r w:rsidRPr="00983089">
                    <w:rPr>
                      <w:sz w:val="20"/>
                      <w:szCs w:val="20"/>
                    </w:rPr>
                    <w:t>Equity Group</w:t>
                  </w:r>
                </w:p>
              </w:tc>
              <w:tc>
                <w:tcPr>
                  <w:tcW w:w="2014" w:type="dxa"/>
                  <w:gridSpan w:val="2"/>
                </w:tcPr>
                <w:p w:rsidR="008D0DF6" w:rsidRPr="00983089" w:rsidRDefault="008D0DF6" w:rsidP="00812577">
                  <w:pPr>
                    <w:rPr>
                      <w:sz w:val="20"/>
                      <w:szCs w:val="20"/>
                    </w:rPr>
                  </w:pPr>
                  <w:r w:rsidRPr="00983089">
                    <w:rPr>
                      <w:sz w:val="20"/>
                      <w:szCs w:val="20"/>
                    </w:rPr>
                    <w:t>Course Completion</w:t>
                  </w:r>
                </w:p>
              </w:tc>
              <w:tc>
                <w:tcPr>
                  <w:tcW w:w="1516" w:type="dxa"/>
                  <w:gridSpan w:val="2"/>
                </w:tcPr>
                <w:p w:rsidR="008D0DF6" w:rsidRPr="00983089" w:rsidRDefault="008D0DF6" w:rsidP="00812577">
                  <w:pPr>
                    <w:rPr>
                      <w:sz w:val="20"/>
                      <w:szCs w:val="20"/>
                    </w:rPr>
                  </w:pPr>
                  <w:r w:rsidRPr="00983089">
                    <w:rPr>
                      <w:sz w:val="20"/>
                      <w:szCs w:val="20"/>
                    </w:rPr>
                    <w:t>Graduation rates</w:t>
                  </w:r>
                </w:p>
              </w:tc>
            </w:tr>
            <w:tr w:rsidR="008D0DF6" w:rsidTr="00812577">
              <w:trPr>
                <w:trHeight w:val="166"/>
              </w:trPr>
              <w:tc>
                <w:tcPr>
                  <w:tcW w:w="1198" w:type="dxa"/>
                  <w:vMerge/>
                </w:tcPr>
                <w:p w:rsidR="008D0DF6" w:rsidRPr="00983089" w:rsidRDefault="008D0DF6" w:rsidP="00812577">
                  <w:pPr>
                    <w:rPr>
                      <w:sz w:val="20"/>
                      <w:szCs w:val="20"/>
                    </w:rPr>
                  </w:pPr>
                </w:p>
              </w:tc>
              <w:tc>
                <w:tcPr>
                  <w:tcW w:w="1155" w:type="dxa"/>
                </w:tcPr>
                <w:p w:rsidR="008D0DF6" w:rsidRPr="00983089" w:rsidRDefault="008D0DF6" w:rsidP="00812577">
                  <w:pPr>
                    <w:jc w:val="center"/>
                    <w:rPr>
                      <w:sz w:val="20"/>
                      <w:szCs w:val="20"/>
                    </w:rPr>
                  </w:pPr>
                  <w:r w:rsidRPr="00983089">
                    <w:rPr>
                      <w:sz w:val="20"/>
                      <w:szCs w:val="20"/>
                    </w:rPr>
                    <w:t>From</w:t>
                  </w:r>
                </w:p>
              </w:tc>
              <w:tc>
                <w:tcPr>
                  <w:tcW w:w="859" w:type="dxa"/>
                </w:tcPr>
                <w:p w:rsidR="008D0DF6" w:rsidRPr="00983089" w:rsidRDefault="008D0DF6" w:rsidP="00812577">
                  <w:pPr>
                    <w:jc w:val="center"/>
                    <w:rPr>
                      <w:sz w:val="20"/>
                      <w:szCs w:val="20"/>
                    </w:rPr>
                  </w:pPr>
                  <w:r w:rsidRPr="00983089">
                    <w:rPr>
                      <w:sz w:val="20"/>
                      <w:szCs w:val="20"/>
                    </w:rPr>
                    <w:t>To</w:t>
                  </w:r>
                </w:p>
              </w:tc>
              <w:tc>
                <w:tcPr>
                  <w:tcW w:w="793" w:type="dxa"/>
                </w:tcPr>
                <w:p w:rsidR="008D0DF6" w:rsidRPr="00983089" w:rsidRDefault="008D0DF6" w:rsidP="00812577">
                  <w:pPr>
                    <w:jc w:val="center"/>
                    <w:rPr>
                      <w:sz w:val="20"/>
                      <w:szCs w:val="20"/>
                    </w:rPr>
                  </w:pPr>
                  <w:r w:rsidRPr="00983089">
                    <w:rPr>
                      <w:sz w:val="20"/>
                      <w:szCs w:val="20"/>
                    </w:rPr>
                    <w:t>From</w:t>
                  </w:r>
                </w:p>
              </w:tc>
              <w:tc>
                <w:tcPr>
                  <w:tcW w:w="723" w:type="dxa"/>
                </w:tcPr>
                <w:p w:rsidR="008D0DF6" w:rsidRPr="00983089" w:rsidRDefault="008D0DF6" w:rsidP="00812577">
                  <w:pPr>
                    <w:jc w:val="center"/>
                    <w:rPr>
                      <w:sz w:val="20"/>
                      <w:szCs w:val="20"/>
                    </w:rPr>
                  </w:pPr>
                  <w:r w:rsidRPr="00983089">
                    <w:rPr>
                      <w:sz w:val="20"/>
                      <w:szCs w:val="20"/>
                    </w:rPr>
                    <w:t>To</w:t>
                  </w:r>
                </w:p>
              </w:tc>
            </w:tr>
            <w:tr w:rsidR="008D0DF6" w:rsidTr="00812577">
              <w:trPr>
                <w:trHeight w:val="605"/>
              </w:trPr>
              <w:tc>
                <w:tcPr>
                  <w:tcW w:w="1198" w:type="dxa"/>
                </w:tcPr>
                <w:p w:rsidR="008D0DF6" w:rsidRPr="00983089" w:rsidRDefault="008D0DF6" w:rsidP="00812577">
                  <w:r w:rsidRPr="00983089">
                    <w:t>African Americans</w:t>
                  </w:r>
                </w:p>
              </w:tc>
              <w:tc>
                <w:tcPr>
                  <w:tcW w:w="1155" w:type="dxa"/>
                </w:tcPr>
                <w:p w:rsidR="008D0DF6" w:rsidRPr="00983089" w:rsidRDefault="008D0DF6" w:rsidP="00812577">
                  <w:pPr>
                    <w:jc w:val="center"/>
                  </w:pPr>
                  <w:r>
                    <w:t>624</w:t>
                  </w:r>
                </w:p>
              </w:tc>
              <w:tc>
                <w:tcPr>
                  <w:tcW w:w="859" w:type="dxa"/>
                </w:tcPr>
                <w:p w:rsidR="008D0DF6" w:rsidRPr="00983089" w:rsidRDefault="008D0DF6" w:rsidP="00812577">
                  <w:pPr>
                    <w:jc w:val="center"/>
                  </w:pPr>
                  <w:r>
                    <w:t>656</w:t>
                  </w:r>
                </w:p>
              </w:tc>
              <w:tc>
                <w:tcPr>
                  <w:tcW w:w="793" w:type="dxa"/>
                </w:tcPr>
                <w:p w:rsidR="008D0DF6" w:rsidRPr="00983089" w:rsidRDefault="008D0DF6" w:rsidP="00812577">
                  <w:pPr>
                    <w:tabs>
                      <w:tab w:val="center" w:pos="288"/>
                    </w:tabs>
                  </w:pPr>
                  <w:r>
                    <w:tab/>
                    <w:t>17</w:t>
                  </w:r>
                </w:p>
              </w:tc>
              <w:tc>
                <w:tcPr>
                  <w:tcW w:w="723" w:type="dxa"/>
                </w:tcPr>
                <w:p w:rsidR="008D0DF6" w:rsidRPr="00983089" w:rsidRDefault="008D0DF6" w:rsidP="00812577">
                  <w:pPr>
                    <w:jc w:val="center"/>
                  </w:pPr>
                  <w:r>
                    <w:t>18</w:t>
                  </w:r>
                </w:p>
              </w:tc>
            </w:tr>
            <w:tr w:rsidR="008D0DF6" w:rsidTr="00812577">
              <w:trPr>
                <w:trHeight w:val="605"/>
              </w:trPr>
              <w:tc>
                <w:tcPr>
                  <w:tcW w:w="1198" w:type="dxa"/>
                </w:tcPr>
                <w:p w:rsidR="008D0DF6" w:rsidRPr="00983089" w:rsidRDefault="008D0DF6" w:rsidP="00812577">
                  <w:r w:rsidRPr="00983089">
                    <w:t>American Indians</w:t>
                  </w:r>
                </w:p>
              </w:tc>
              <w:tc>
                <w:tcPr>
                  <w:tcW w:w="1155" w:type="dxa"/>
                </w:tcPr>
                <w:p w:rsidR="008D0DF6" w:rsidRPr="00983089" w:rsidRDefault="008D0DF6" w:rsidP="00812577">
                  <w:pPr>
                    <w:jc w:val="center"/>
                  </w:pPr>
                  <w:r w:rsidRPr="00983089">
                    <w:t>59</w:t>
                  </w:r>
                </w:p>
              </w:tc>
              <w:tc>
                <w:tcPr>
                  <w:tcW w:w="859" w:type="dxa"/>
                </w:tcPr>
                <w:p w:rsidR="008D0DF6" w:rsidRPr="00983089" w:rsidRDefault="008D0DF6" w:rsidP="00812577">
                  <w:pPr>
                    <w:jc w:val="center"/>
                  </w:pPr>
                  <w:r w:rsidRPr="00983089">
                    <w:t>59</w:t>
                  </w:r>
                </w:p>
              </w:tc>
              <w:tc>
                <w:tcPr>
                  <w:tcW w:w="793" w:type="dxa"/>
                </w:tcPr>
                <w:p w:rsidR="008D0DF6" w:rsidRPr="00983089" w:rsidRDefault="008D0DF6" w:rsidP="00812577">
                  <w:pPr>
                    <w:jc w:val="center"/>
                  </w:pPr>
                  <w:r w:rsidRPr="00983089">
                    <w:t>14</w:t>
                  </w:r>
                </w:p>
              </w:tc>
              <w:tc>
                <w:tcPr>
                  <w:tcW w:w="723" w:type="dxa"/>
                </w:tcPr>
                <w:p w:rsidR="008D0DF6" w:rsidRPr="00983089" w:rsidRDefault="008D0DF6" w:rsidP="00812577">
                  <w:pPr>
                    <w:jc w:val="center"/>
                  </w:pPr>
                  <w:r w:rsidRPr="00983089">
                    <w:t>15</w:t>
                  </w:r>
                </w:p>
              </w:tc>
            </w:tr>
            <w:tr w:rsidR="008D0DF6" w:rsidTr="00812577">
              <w:trPr>
                <w:trHeight w:val="622"/>
              </w:trPr>
              <w:tc>
                <w:tcPr>
                  <w:tcW w:w="1198" w:type="dxa"/>
                </w:tcPr>
                <w:p w:rsidR="008D0DF6" w:rsidRPr="00983089" w:rsidRDefault="008D0DF6" w:rsidP="00812577">
                  <w:r w:rsidRPr="00983089">
                    <w:t>Foster Youth</w:t>
                  </w:r>
                </w:p>
              </w:tc>
              <w:tc>
                <w:tcPr>
                  <w:tcW w:w="1155" w:type="dxa"/>
                </w:tcPr>
                <w:p w:rsidR="008D0DF6" w:rsidRPr="00983089" w:rsidRDefault="008D0DF6" w:rsidP="00812577">
                  <w:pPr>
                    <w:jc w:val="center"/>
                  </w:pPr>
                  <w:r>
                    <w:t>394</w:t>
                  </w:r>
                </w:p>
              </w:tc>
              <w:tc>
                <w:tcPr>
                  <w:tcW w:w="859" w:type="dxa"/>
                </w:tcPr>
                <w:p w:rsidR="008D0DF6" w:rsidRPr="00983089" w:rsidRDefault="008D0DF6" w:rsidP="00812577">
                  <w:pPr>
                    <w:jc w:val="center"/>
                  </w:pPr>
                  <w:r>
                    <w:t>414</w:t>
                  </w:r>
                </w:p>
              </w:tc>
              <w:tc>
                <w:tcPr>
                  <w:tcW w:w="793" w:type="dxa"/>
                </w:tcPr>
                <w:p w:rsidR="008D0DF6" w:rsidRPr="00983089" w:rsidRDefault="008D0DF6" w:rsidP="00812577">
                  <w:pPr>
                    <w:jc w:val="center"/>
                  </w:pPr>
                  <w:r>
                    <w:t>12</w:t>
                  </w:r>
                </w:p>
              </w:tc>
              <w:tc>
                <w:tcPr>
                  <w:tcW w:w="723" w:type="dxa"/>
                </w:tcPr>
                <w:p w:rsidR="008D0DF6" w:rsidRPr="00983089" w:rsidRDefault="008D0DF6" w:rsidP="00812577">
                  <w:pPr>
                    <w:jc w:val="center"/>
                  </w:pPr>
                  <w:r>
                    <w:t>13</w:t>
                  </w:r>
                </w:p>
              </w:tc>
            </w:tr>
            <w:tr w:rsidR="008D0DF6" w:rsidTr="00812577">
              <w:trPr>
                <w:trHeight w:val="311"/>
              </w:trPr>
              <w:tc>
                <w:tcPr>
                  <w:tcW w:w="1198" w:type="dxa"/>
                </w:tcPr>
                <w:p w:rsidR="008D0DF6" w:rsidRDefault="008D0DF6" w:rsidP="00812577">
                  <w:r w:rsidRPr="00983089">
                    <w:t>Males</w:t>
                  </w:r>
                </w:p>
                <w:p w:rsidR="008D0DF6" w:rsidRPr="00983089" w:rsidRDefault="008D0DF6" w:rsidP="00812577"/>
              </w:tc>
              <w:tc>
                <w:tcPr>
                  <w:tcW w:w="1155" w:type="dxa"/>
                </w:tcPr>
                <w:p w:rsidR="008D0DF6" w:rsidRPr="00983089" w:rsidRDefault="008D0DF6" w:rsidP="00812577">
                  <w:pPr>
                    <w:jc w:val="center"/>
                  </w:pPr>
                  <w:r>
                    <w:t>9,766</w:t>
                  </w:r>
                </w:p>
              </w:tc>
              <w:tc>
                <w:tcPr>
                  <w:tcW w:w="859" w:type="dxa"/>
                </w:tcPr>
                <w:p w:rsidR="008D0DF6" w:rsidRPr="00983089" w:rsidRDefault="008D0DF6" w:rsidP="00812577">
                  <w:pPr>
                    <w:jc w:val="center"/>
                  </w:pPr>
                  <w:r>
                    <w:t>10,255</w:t>
                  </w:r>
                </w:p>
              </w:tc>
              <w:tc>
                <w:tcPr>
                  <w:tcW w:w="793" w:type="dxa"/>
                </w:tcPr>
                <w:p w:rsidR="008D0DF6" w:rsidRPr="00983089" w:rsidRDefault="008D0DF6" w:rsidP="00812577">
                  <w:pPr>
                    <w:jc w:val="center"/>
                  </w:pPr>
                  <w:r>
                    <w:t>534</w:t>
                  </w:r>
                </w:p>
              </w:tc>
              <w:tc>
                <w:tcPr>
                  <w:tcW w:w="723" w:type="dxa"/>
                </w:tcPr>
                <w:p w:rsidR="008D0DF6" w:rsidRPr="00983089" w:rsidRDefault="008D0DF6" w:rsidP="00812577">
                  <w:pPr>
                    <w:jc w:val="center"/>
                  </w:pPr>
                  <w:r>
                    <w:t>561</w:t>
                  </w:r>
                </w:p>
              </w:tc>
            </w:tr>
          </w:tbl>
          <w:p w:rsidR="008D0DF6" w:rsidRPr="00A74A00" w:rsidRDefault="008D0DF6" w:rsidP="00812577">
            <w:pPr>
              <w:rPr>
                <w:sz w:val="24"/>
                <w:szCs w:val="24"/>
              </w:rPr>
            </w:pPr>
          </w:p>
        </w:tc>
      </w:tr>
    </w:tbl>
    <w:p w:rsidR="00C83C5D" w:rsidRDefault="00C83C5D"/>
    <w:p w:rsidR="00C83C5D" w:rsidRDefault="00C83C5D"/>
    <w:p w:rsidR="00C83C5D" w:rsidRDefault="00C83C5D"/>
    <w:p w:rsidR="00C83C5D" w:rsidRDefault="00C83C5D" w:rsidP="00C83C5D">
      <w:pPr>
        <w:spacing w:after="0" w:line="240" w:lineRule="auto"/>
        <w:jc w:val="center"/>
        <w:rPr>
          <w:b/>
          <w:sz w:val="40"/>
          <w:szCs w:val="40"/>
        </w:rPr>
      </w:pPr>
      <w:r>
        <w:rPr>
          <w:b/>
          <w:sz w:val="40"/>
          <w:szCs w:val="40"/>
        </w:rPr>
        <w:t>Suggested Strategic Plan Activities</w:t>
      </w:r>
    </w:p>
    <w:p w:rsidR="00C83C5D" w:rsidRDefault="00C83C5D"/>
    <w:tbl>
      <w:tblPr>
        <w:tblStyle w:val="TableGrid"/>
        <w:tblW w:w="0" w:type="auto"/>
        <w:tblLook w:val="04A0" w:firstRow="1" w:lastRow="0" w:firstColumn="1" w:lastColumn="0" w:noHBand="0" w:noVBand="1"/>
      </w:tblPr>
      <w:tblGrid>
        <w:gridCol w:w="4622"/>
        <w:gridCol w:w="4954"/>
      </w:tblGrid>
      <w:tr w:rsidR="00C83C5D" w:rsidTr="0014152C">
        <w:trPr>
          <w:trHeight w:val="422"/>
        </w:trPr>
        <w:tc>
          <w:tcPr>
            <w:tcW w:w="9576" w:type="dxa"/>
            <w:gridSpan w:val="2"/>
            <w:shd w:val="clear" w:color="auto" w:fill="B8CCE4" w:themeFill="accent1" w:themeFillTint="66"/>
          </w:tcPr>
          <w:p w:rsidR="00C83C5D" w:rsidRPr="006142FE" w:rsidRDefault="00C83C5D" w:rsidP="00C83C5D">
            <w:pPr>
              <w:jc w:val="center"/>
              <w:rPr>
                <w:sz w:val="28"/>
                <w:szCs w:val="28"/>
              </w:rPr>
            </w:pPr>
            <w:r>
              <w:br w:type="page"/>
            </w:r>
            <w:r>
              <w:rPr>
                <w:sz w:val="28"/>
                <w:szCs w:val="28"/>
              </w:rPr>
              <w:t>Activities to Achieve Strategic Plan Goals</w:t>
            </w:r>
          </w:p>
        </w:tc>
      </w:tr>
      <w:tr w:rsidR="00C83C5D" w:rsidTr="00C83C5D">
        <w:trPr>
          <w:trHeight w:val="4013"/>
        </w:trPr>
        <w:tc>
          <w:tcPr>
            <w:tcW w:w="4622" w:type="dxa"/>
          </w:tcPr>
          <w:p w:rsidR="00C83C5D" w:rsidRPr="00A74A00" w:rsidRDefault="00C83C5D" w:rsidP="0014152C">
            <w:pPr>
              <w:rPr>
                <w:b/>
                <w:sz w:val="24"/>
                <w:szCs w:val="24"/>
              </w:rPr>
            </w:pPr>
            <w:r w:rsidRPr="00A74A00">
              <w:rPr>
                <w:b/>
                <w:sz w:val="24"/>
                <w:szCs w:val="24"/>
              </w:rPr>
              <w:t>1. Increase Achievement</w:t>
            </w:r>
          </w:p>
          <w:p w:rsidR="00C83C5D" w:rsidRPr="00A74A00" w:rsidRDefault="00C83C5D" w:rsidP="0014152C">
            <w:pPr>
              <w:rPr>
                <w:sz w:val="16"/>
                <w:szCs w:val="16"/>
              </w:rPr>
            </w:pPr>
          </w:p>
          <w:p w:rsidR="00C83C5D" w:rsidRPr="00C83C5D" w:rsidRDefault="00C83C5D" w:rsidP="00C83C5D">
            <w:pPr>
              <w:pStyle w:val="ListParagraph"/>
              <w:numPr>
                <w:ilvl w:val="0"/>
                <w:numId w:val="1"/>
              </w:numPr>
              <w:rPr>
                <w:sz w:val="24"/>
                <w:szCs w:val="24"/>
              </w:rPr>
            </w:pPr>
            <w:r w:rsidRPr="00C83C5D">
              <w:rPr>
                <w:sz w:val="24"/>
                <w:szCs w:val="24"/>
              </w:rPr>
              <w:t>Ensure that well qualified and trained faculty are teaching courses in accordance with the Strategic Enrollment Management Plan to support student success</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1"/>
              </w:numPr>
              <w:rPr>
                <w:sz w:val="24"/>
                <w:szCs w:val="24"/>
              </w:rPr>
            </w:pPr>
            <w:r w:rsidRPr="00C83C5D">
              <w:rPr>
                <w:sz w:val="24"/>
                <w:szCs w:val="24"/>
              </w:rPr>
              <w:t>Provide robust academic, technological, and support services to ensure intentional interventions are received by all students at appropriate times</w:t>
            </w:r>
          </w:p>
        </w:tc>
        <w:tc>
          <w:tcPr>
            <w:tcW w:w="4954" w:type="dxa"/>
          </w:tcPr>
          <w:p w:rsidR="00C83C5D" w:rsidRPr="00A74A00" w:rsidRDefault="00C83C5D" w:rsidP="0014152C">
            <w:pPr>
              <w:rPr>
                <w:b/>
                <w:sz w:val="24"/>
                <w:szCs w:val="24"/>
              </w:rPr>
            </w:pPr>
            <w:r w:rsidRPr="00A74A00">
              <w:rPr>
                <w:b/>
                <w:sz w:val="24"/>
                <w:szCs w:val="24"/>
              </w:rPr>
              <w:t>2. Improve Efficiency</w:t>
            </w:r>
          </w:p>
          <w:p w:rsidR="00C83C5D" w:rsidRPr="00A74A00" w:rsidRDefault="00C83C5D" w:rsidP="0014152C">
            <w:pPr>
              <w:rPr>
                <w:sz w:val="16"/>
                <w:szCs w:val="16"/>
              </w:rPr>
            </w:pPr>
          </w:p>
          <w:p w:rsidR="00C83C5D" w:rsidRDefault="00C83C5D" w:rsidP="00C83C5D">
            <w:pPr>
              <w:pStyle w:val="ListParagraph"/>
              <w:numPr>
                <w:ilvl w:val="0"/>
                <w:numId w:val="2"/>
              </w:numPr>
              <w:rPr>
                <w:sz w:val="24"/>
                <w:szCs w:val="24"/>
              </w:rPr>
            </w:pPr>
            <w:r w:rsidRPr="00C83C5D">
              <w:rPr>
                <w:sz w:val="24"/>
                <w:szCs w:val="24"/>
              </w:rPr>
              <w:t>Successfully implement Guided Pathways, including effective enrollment management as well as timely and relevant curriculum review</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2"/>
              </w:numPr>
              <w:rPr>
                <w:sz w:val="24"/>
                <w:szCs w:val="24"/>
              </w:rPr>
            </w:pPr>
            <w:r w:rsidRPr="00C83C5D">
              <w:rPr>
                <w:sz w:val="24"/>
                <w:szCs w:val="24"/>
              </w:rPr>
              <w:t>Ensure adequate support services are in place to help students enter and stay on their pathway</w:t>
            </w:r>
          </w:p>
          <w:p w:rsidR="00C83C5D" w:rsidRPr="00A74A00" w:rsidRDefault="00C83C5D" w:rsidP="0014152C">
            <w:pPr>
              <w:rPr>
                <w:sz w:val="24"/>
                <w:szCs w:val="24"/>
              </w:rPr>
            </w:pPr>
          </w:p>
        </w:tc>
      </w:tr>
      <w:tr w:rsidR="00C83C5D" w:rsidTr="00C83C5D">
        <w:trPr>
          <w:trHeight w:val="3995"/>
        </w:trPr>
        <w:tc>
          <w:tcPr>
            <w:tcW w:w="4622" w:type="dxa"/>
          </w:tcPr>
          <w:p w:rsidR="00C83C5D" w:rsidRPr="00A74A00" w:rsidRDefault="00C83C5D" w:rsidP="0014152C">
            <w:pPr>
              <w:rPr>
                <w:b/>
                <w:sz w:val="24"/>
                <w:szCs w:val="24"/>
              </w:rPr>
            </w:pPr>
            <w:r w:rsidRPr="00A74A00">
              <w:rPr>
                <w:b/>
                <w:sz w:val="24"/>
                <w:szCs w:val="24"/>
              </w:rPr>
              <w:t>3. Improve Employment</w:t>
            </w:r>
          </w:p>
          <w:p w:rsidR="00C83C5D" w:rsidRPr="00A74A00" w:rsidRDefault="00C83C5D" w:rsidP="0014152C">
            <w:pPr>
              <w:rPr>
                <w:sz w:val="16"/>
                <w:szCs w:val="16"/>
              </w:rPr>
            </w:pPr>
          </w:p>
          <w:p w:rsidR="00C83C5D" w:rsidRDefault="00C83C5D" w:rsidP="00C83C5D">
            <w:pPr>
              <w:pStyle w:val="ListParagraph"/>
              <w:numPr>
                <w:ilvl w:val="0"/>
                <w:numId w:val="3"/>
              </w:numPr>
              <w:rPr>
                <w:sz w:val="24"/>
                <w:szCs w:val="24"/>
              </w:rPr>
            </w:pPr>
            <w:r w:rsidRPr="00C83C5D">
              <w:rPr>
                <w:sz w:val="24"/>
                <w:szCs w:val="24"/>
              </w:rPr>
              <w:t>Increase opportunities for work experience through participation in internships, externships, and student employment</w:t>
            </w:r>
          </w:p>
          <w:p w:rsidR="00C83C5D" w:rsidRPr="00C83C5D" w:rsidRDefault="00C83C5D" w:rsidP="00C83C5D">
            <w:pPr>
              <w:pStyle w:val="ListParagraph"/>
              <w:ind w:left="360"/>
              <w:rPr>
                <w:sz w:val="16"/>
                <w:szCs w:val="16"/>
              </w:rPr>
            </w:pPr>
          </w:p>
          <w:p w:rsidR="00C83C5D" w:rsidRDefault="00C83C5D" w:rsidP="00C83C5D">
            <w:pPr>
              <w:pStyle w:val="ListParagraph"/>
              <w:numPr>
                <w:ilvl w:val="0"/>
                <w:numId w:val="3"/>
              </w:numPr>
              <w:rPr>
                <w:sz w:val="24"/>
                <w:szCs w:val="24"/>
              </w:rPr>
            </w:pPr>
            <w:r w:rsidRPr="00C83C5D">
              <w:rPr>
                <w:sz w:val="24"/>
                <w:szCs w:val="24"/>
              </w:rPr>
              <w:t>Build and strengthen partnerships with employers for mentoring, recruiting, and networking</w:t>
            </w:r>
          </w:p>
          <w:p w:rsidR="00C83C5D" w:rsidRPr="00C83C5D" w:rsidRDefault="00C83C5D" w:rsidP="00C83C5D">
            <w:pPr>
              <w:pStyle w:val="ListParagraph"/>
              <w:ind w:left="360"/>
              <w:rPr>
                <w:sz w:val="16"/>
                <w:szCs w:val="16"/>
              </w:rPr>
            </w:pPr>
          </w:p>
          <w:p w:rsidR="00C83C5D" w:rsidRDefault="00C83C5D" w:rsidP="00C83C5D">
            <w:pPr>
              <w:pStyle w:val="ListParagraph"/>
              <w:numPr>
                <w:ilvl w:val="0"/>
                <w:numId w:val="3"/>
              </w:numPr>
              <w:rPr>
                <w:sz w:val="24"/>
                <w:szCs w:val="24"/>
              </w:rPr>
            </w:pPr>
            <w:r w:rsidRPr="00C83C5D">
              <w:rPr>
                <w:sz w:val="24"/>
                <w:szCs w:val="24"/>
              </w:rPr>
              <w:t xml:space="preserve">Educate students about available career </w:t>
            </w:r>
            <w:r>
              <w:rPr>
                <w:sz w:val="24"/>
                <w:szCs w:val="24"/>
              </w:rPr>
              <w:t>pathways in their areas of study</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3"/>
              </w:numPr>
              <w:rPr>
                <w:sz w:val="24"/>
                <w:szCs w:val="24"/>
              </w:rPr>
            </w:pPr>
            <w:r w:rsidRPr="00C83C5D">
              <w:rPr>
                <w:sz w:val="24"/>
                <w:szCs w:val="24"/>
              </w:rPr>
              <w:t xml:space="preserve">Improve employment readiness through development of soft skills, such as communication, writing, online professional presence, and student portfolios </w:t>
            </w:r>
          </w:p>
        </w:tc>
        <w:tc>
          <w:tcPr>
            <w:tcW w:w="4954" w:type="dxa"/>
          </w:tcPr>
          <w:p w:rsidR="00C83C5D" w:rsidRPr="00A74A00" w:rsidRDefault="00C83C5D" w:rsidP="0014152C">
            <w:pPr>
              <w:rPr>
                <w:b/>
                <w:sz w:val="24"/>
                <w:szCs w:val="24"/>
              </w:rPr>
            </w:pPr>
            <w:r w:rsidRPr="00A74A00">
              <w:rPr>
                <w:b/>
                <w:sz w:val="24"/>
                <w:szCs w:val="24"/>
              </w:rPr>
              <w:t>4. Improve Equity</w:t>
            </w:r>
          </w:p>
          <w:p w:rsidR="00C83C5D" w:rsidRPr="00A74A00" w:rsidRDefault="00C83C5D" w:rsidP="0014152C">
            <w:pPr>
              <w:rPr>
                <w:sz w:val="16"/>
                <w:szCs w:val="16"/>
              </w:rPr>
            </w:pPr>
          </w:p>
          <w:p w:rsidR="00C83C5D" w:rsidRPr="00C83C5D" w:rsidRDefault="00C83C5D" w:rsidP="00C83C5D">
            <w:pPr>
              <w:pStyle w:val="ListParagraph"/>
              <w:numPr>
                <w:ilvl w:val="0"/>
                <w:numId w:val="4"/>
              </w:numPr>
              <w:rPr>
                <w:sz w:val="24"/>
                <w:szCs w:val="24"/>
              </w:rPr>
            </w:pPr>
            <w:r w:rsidRPr="00C83C5D">
              <w:rPr>
                <w:sz w:val="24"/>
                <w:szCs w:val="24"/>
              </w:rPr>
              <w:t>Using a guided pathways orientation, increase alternative scheduling methods that address the needs of students from a wide variety of backgrounds</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4"/>
              </w:numPr>
              <w:rPr>
                <w:sz w:val="24"/>
                <w:szCs w:val="24"/>
              </w:rPr>
            </w:pPr>
            <w:r w:rsidRPr="00C83C5D">
              <w:rPr>
                <w:sz w:val="24"/>
                <w:szCs w:val="24"/>
              </w:rPr>
              <w:t>Implement intentional interventions, such as progress reports, increased touchpoints/nudges, and degree plan mapping, for identified student populations</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4"/>
              </w:numPr>
              <w:rPr>
                <w:sz w:val="24"/>
                <w:szCs w:val="24"/>
              </w:rPr>
            </w:pPr>
            <w:r w:rsidRPr="00C83C5D">
              <w:rPr>
                <w:sz w:val="24"/>
                <w:szCs w:val="24"/>
              </w:rPr>
              <w:t>Through implementation of the Equal Employment Opportunity plan, engage in continuous training and professional development for all employees on the goals of the EEO plan and how each employee can contribute to achieving the goals and ultimately increasing student success.</w:t>
            </w:r>
          </w:p>
          <w:p w:rsidR="00C83C5D" w:rsidRPr="00A74A00" w:rsidRDefault="00C83C5D" w:rsidP="0014152C">
            <w:pPr>
              <w:rPr>
                <w:sz w:val="24"/>
                <w:szCs w:val="24"/>
              </w:rPr>
            </w:pPr>
          </w:p>
        </w:tc>
      </w:tr>
    </w:tbl>
    <w:p w:rsidR="00675827" w:rsidRDefault="00675827"/>
    <w:sectPr w:rsidR="006758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5D" w:rsidRDefault="00C83C5D" w:rsidP="00C83C5D">
      <w:pPr>
        <w:spacing w:after="0" w:line="240" w:lineRule="auto"/>
      </w:pPr>
      <w:r>
        <w:separator/>
      </w:r>
    </w:p>
  </w:endnote>
  <w:endnote w:type="continuationSeparator" w:id="0">
    <w:p w:rsidR="00C83C5D" w:rsidRDefault="00C83C5D" w:rsidP="00C8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42994"/>
      <w:docPartObj>
        <w:docPartGallery w:val="Page Numbers (Bottom of Page)"/>
        <w:docPartUnique/>
      </w:docPartObj>
    </w:sdtPr>
    <w:sdtEndPr>
      <w:rPr>
        <w:noProof/>
      </w:rPr>
    </w:sdtEndPr>
    <w:sdtContent>
      <w:p w:rsidR="00C83C5D" w:rsidRDefault="00C83C5D">
        <w:pPr>
          <w:pStyle w:val="Footer"/>
          <w:jc w:val="right"/>
        </w:pPr>
        <w:r>
          <w:fldChar w:fldCharType="begin"/>
        </w:r>
        <w:r>
          <w:instrText xml:space="preserve"> PAGE   \* MERGEFORMAT </w:instrText>
        </w:r>
        <w:r>
          <w:fldChar w:fldCharType="separate"/>
        </w:r>
        <w:r w:rsidR="00F136E3">
          <w:rPr>
            <w:noProof/>
          </w:rPr>
          <w:t>2</w:t>
        </w:r>
        <w:r>
          <w:rPr>
            <w:noProof/>
          </w:rPr>
          <w:fldChar w:fldCharType="end"/>
        </w:r>
      </w:p>
    </w:sdtContent>
  </w:sdt>
  <w:p w:rsidR="00C83C5D" w:rsidRDefault="00C83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5D" w:rsidRDefault="00C83C5D" w:rsidP="00C83C5D">
      <w:pPr>
        <w:spacing w:after="0" w:line="240" w:lineRule="auto"/>
      </w:pPr>
      <w:r>
        <w:separator/>
      </w:r>
    </w:p>
  </w:footnote>
  <w:footnote w:type="continuationSeparator" w:id="0">
    <w:p w:rsidR="00C83C5D" w:rsidRDefault="00C83C5D" w:rsidP="00C83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5D" w:rsidRDefault="00C83C5D">
    <w:pPr>
      <w:pStyle w:val="Header"/>
    </w:pPr>
    <w:r>
      <w:rPr>
        <w:noProof/>
      </w:rPr>
      <w:drawing>
        <wp:inline distT="0" distB="0" distL="0" distR="0" wp14:anchorId="62B670D0" wp14:editId="496EEC6B">
          <wp:extent cx="2419350" cy="6844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9350" cy="6844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3522F"/>
    <w:multiLevelType w:val="hybridMultilevel"/>
    <w:tmpl w:val="5B2AC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42657A"/>
    <w:multiLevelType w:val="hybridMultilevel"/>
    <w:tmpl w:val="8A88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FE044B"/>
    <w:multiLevelType w:val="hybridMultilevel"/>
    <w:tmpl w:val="BC56A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7E5EB7"/>
    <w:multiLevelType w:val="hybridMultilevel"/>
    <w:tmpl w:val="DFDC7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F6"/>
    <w:rsid w:val="00277588"/>
    <w:rsid w:val="0043658B"/>
    <w:rsid w:val="00675827"/>
    <w:rsid w:val="008D0DF6"/>
    <w:rsid w:val="00C83C5D"/>
    <w:rsid w:val="00F1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C5D"/>
    <w:rPr>
      <w:rFonts w:eastAsiaTheme="minorEastAsia"/>
    </w:rPr>
  </w:style>
  <w:style w:type="paragraph" w:styleId="Footer">
    <w:name w:val="footer"/>
    <w:basedOn w:val="Normal"/>
    <w:link w:val="FooterChar"/>
    <w:uiPriority w:val="99"/>
    <w:unhideWhenUsed/>
    <w:rsid w:val="00C83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5D"/>
    <w:rPr>
      <w:rFonts w:eastAsiaTheme="minorEastAsia"/>
    </w:rPr>
  </w:style>
  <w:style w:type="paragraph" w:styleId="BalloonText">
    <w:name w:val="Balloon Text"/>
    <w:basedOn w:val="Normal"/>
    <w:link w:val="BalloonTextChar"/>
    <w:uiPriority w:val="99"/>
    <w:semiHidden/>
    <w:unhideWhenUsed/>
    <w:rsid w:val="00C8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C5D"/>
    <w:rPr>
      <w:rFonts w:ascii="Tahoma" w:eastAsiaTheme="minorEastAsia" w:hAnsi="Tahoma" w:cs="Tahoma"/>
      <w:sz w:val="16"/>
      <w:szCs w:val="16"/>
    </w:rPr>
  </w:style>
  <w:style w:type="paragraph" w:styleId="ListParagraph">
    <w:name w:val="List Paragraph"/>
    <w:basedOn w:val="Normal"/>
    <w:uiPriority w:val="34"/>
    <w:qFormat/>
    <w:rsid w:val="00C83C5D"/>
    <w:pPr>
      <w:spacing w:after="160" w:line="259" w:lineRule="auto"/>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C5D"/>
    <w:rPr>
      <w:rFonts w:eastAsiaTheme="minorEastAsia"/>
    </w:rPr>
  </w:style>
  <w:style w:type="paragraph" w:styleId="Footer">
    <w:name w:val="footer"/>
    <w:basedOn w:val="Normal"/>
    <w:link w:val="FooterChar"/>
    <w:uiPriority w:val="99"/>
    <w:unhideWhenUsed/>
    <w:rsid w:val="00C83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5D"/>
    <w:rPr>
      <w:rFonts w:eastAsiaTheme="minorEastAsia"/>
    </w:rPr>
  </w:style>
  <w:style w:type="paragraph" w:styleId="BalloonText">
    <w:name w:val="Balloon Text"/>
    <w:basedOn w:val="Normal"/>
    <w:link w:val="BalloonTextChar"/>
    <w:uiPriority w:val="99"/>
    <w:semiHidden/>
    <w:unhideWhenUsed/>
    <w:rsid w:val="00C8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C5D"/>
    <w:rPr>
      <w:rFonts w:ascii="Tahoma" w:eastAsiaTheme="minorEastAsia" w:hAnsi="Tahoma" w:cs="Tahoma"/>
      <w:sz w:val="16"/>
      <w:szCs w:val="16"/>
    </w:rPr>
  </w:style>
  <w:style w:type="paragraph" w:styleId="ListParagraph">
    <w:name w:val="List Paragraph"/>
    <w:basedOn w:val="Normal"/>
    <w:uiPriority w:val="34"/>
    <w:qFormat/>
    <w:rsid w:val="00C83C5D"/>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2019-04-08T16:16:00Z</dcterms:created>
  <dcterms:modified xsi:type="dcterms:W3CDTF">2019-04-08T16:16:00Z</dcterms:modified>
</cp:coreProperties>
</file>